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328"/>
      </w:tblGrid>
      <w:tr w:rsidR="001C7C86">
        <w:tc>
          <w:tcPr>
            <w:tcW w:w="5328" w:type="dxa"/>
          </w:tcPr>
          <w:p w:rsidR="001C7C86" w:rsidRPr="0091077A" w:rsidRDefault="0091077A" w:rsidP="00A96DB6">
            <w:pPr>
              <w:pStyle w:val="Title"/>
              <w:rPr>
                <w:sz w:val="96"/>
                <w:szCs w:val="96"/>
              </w:rPr>
            </w:pPr>
            <w:bookmarkStart w:id="0" w:name="_Toc254009527"/>
            <w:r w:rsidRPr="0091077A">
              <w:rPr>
                <w:rStyle w:val="Style1"/>
                <w:sz w:val="96"/>
                <w:szCs w:val="96"/>
              </w:rPr>
              <w:t>Workfor</w:t>
            </w:r>
            <w:r>
              <w:rPr>
                <w:rStyle w:val="Style1"/>
                <w:sz w:val="96"/>
                <w:szCs w:val="96"/>
              </w:rPr>
              <w:t xml:space="preserve">ce </w:t>
            </w:r>
            <w:r w:rsidR="00A96DB6">
              <w:rPr>
                <w:rStyle w:val="Style1"/>
                <w:sz w:val="96"/>
                <w:szCs w:val="96"/>
              </w:rPr>
              <w:t xml:space="preserve">Disability </w:t>
            </w:r>
            <w:r>
              <w:rPr>
                <w:rStyle w:val="Style1"/>
                <w:sz w:val="96"/>
                <w:szCs w:val="96"/>
              </w:rPr>
              <w:t>Equality Standard 20</w:t>
            </w:r>
            <w:r w:rsidR="00177B29">
              <w:rPr>
                <w:rStyle w:val="Style1"/>
                <w:sz w:val="96"/>
                <w:szCs w:val="96"/>
              </w:rPr>
              <w:t>20</w:t>
            </w:r>
            <w:r>
              <w:rPr>
                <w:rStyle w:val="Style1"/>
                <w:sz w:val="96"/>
                <w:szCs w:val="96"/>
              </w:rPr>
              <w:t xml:space="preserve"> </w:t>
            </w:r>
            <w:r w:rsidR="001C7C86" w:rsidRPr="0091077A">
              <w:rPr>
                <w:sz w:val="96"/>
                <w:szCs w:val="96"/>
              </w:rPr>
              <w:br/>
            </w:r>
            <w:bookmarkEnd w:id="0"/>
          </w:p>
        </w:tc>
      </w:tr>
      <w:tr w:rsidR="001C7C86" w:rsidRPr="005B1AFA">
        <w:trPr>
          <w:trHeight w:val="589"/>
        </w:trPr>
        <w:tc>
          <w:tcPr>
            <w:tcW w:w="5328" w:type="dxa"/>
            <w:vAlign w:val="center"/>
          </w:tcPr>
          <w:p w:rsidR="001C7C86" w:rsidRDefault="00177B29" w:rsidP="006C51FC">
            <w:pPr>
              <w:pStyle w:val="Date"/>
              <w:framePr w:hSpace="0" w:wrap="auto" w:vAnchor="margin" w:hAnchor="text" w:yAlign="inline"/>
            </w:pPr>
            <w:r>
              <w:t>September</w:t>
            </w:r>
            <w:r w:rsidR="0091077A">
              <w:t xml:space="preserve"> 20</w:t>
            </w:r>
            <w:r>
              <w:t>20</w:t>
            </w:r>
          </w:p>
        </w:tc>
      </w:tr>
      <w:tr w:rsidR="001C7C86">
        <w:trPr>
          <w:trHeight w:val="627"/>
        </w:trPr>
        <w:tc>
          <w:tcPr>
            <w:tcW w:w="5328" w:type="dxa"/>
            <w:vAlign w:val="center"/>
          </w:tcPr>
          <w:p w:rsidR="001C7C86" w:rsidRDefault="001C7C86" w:rsidP="00F31656">
            <w:pPr>
              <w:pStyle w:val="PCWhite"/>
            </w:pPr>
          </w:p>
        </w:tc>
      </w:tr>
    </w:tbl>
    <w:p w:rsidR="00620F9D" w:rsidRDefault="00620F9D" w:rsidP="00620F9D">
      <w:pPr>
        <w:tabs>
          <w:tab w:val="left" w:pos="3544"/>
        </w:tabs>
        <w:rPr>
          <w:color w:val="FFFFFF"/>
          <w:sz w:val="36"/>
        </w:rPr>
        <w:sectPr w:rsidR="00620F9D" w:rsidSect="00620F9D">
          <w:headerReference w:type="default" r:id="rId8"/>
          <w:footerReference w:type="even" r:id="rId9"/>
          <w:footerReference w:type="default" r:id="rId10"/>
          <w:pgSz w:w="11906" w:h="16838" w:code="9"/>
          <w:pgMar w:top="1440" w:right="851" w:bottom="1440" w:left="1758" w:header="709" w:footer="709" w:gutter="0"/>
          <w:cols w:space="708"/>
          <w:docGrid w:linePitch="360"/>
        </w:sectPr>
      </w:pPr>
    </w:p>
    <w:p w:rsidR="00936BF6" w:rsidRPr="00936BF6" w:rsidRDefault="00936BF6" w:rsidP="00936BF6">
      <w:pPr>
        <w:pStyle w:val="Heading1"/>
      </w:pPr>
      <w:r w:rsidRPr="00936BF6">
        <w:lastRenderedPageBreak/>
        <w:t xml:space="preserve">Background and </w:t>
      </w:r>
      <w:r w:rsidR="00260BE8">
        <w:t>introduction</w:t>
      </w:r>
    </w:p>
    <w:p w:rsidR="006C37EC" w:rsidRDefault="006C37EC" w:rsidP="006C37EC">
      <w:pPr>
        <w:pStyle w:val="Heading1"/>
        <w:numPr>
          <w:ilvl w:val="0"/>
          <w:numId w:val="0"/>
        </w:numPr>
        <w:jc w:val="both"/>
        <w:rPr>
          <w:bCs w:val="0"/>
          <w:iCs/>
          <w:color w:val="381E37"/>
          <w:sz w:val="22"/>
          <w:szCs w:val="28"/>
        </w:rPr>
      </w:pPr>
      <w:r w:rsidRPr="006D5911">
        <w:rPr>
          <w:bCs w:val="0"/>
          <w:iCs/>
          <w:color w:val="381E37"/>
          <w:sz w:val="22"/>
          <w:szCs w:val="28"/>
        </w:rPr>
        <w:t>This report provides the 20</w:t>
      </w:r>
      <w:r>
        <w:rPr>
          <w:bCs w:val="0"/>
          <w:iCs/>
          <w:color w:val="381E37"/>
          <w:sz w:val="22"/>
          <w:szCs w:val="28"/>
        </w:rPr>
        <w:t>20</w:t>
      </w:r>
      <w:r w:rsidRPr="006D5911">
        <w:rPr>
          <w:bCs w:val="0"/>
          <w:iCs/>
          <w:color w:val="381E37"/>
          <w:sz w:val="22"/>
          <w:szCs w:val="28"/>
        </w:rPr>
        <w:t xml:space="preserve"> W</w:t>
      </w:r>
      <w:r>
        <w:rPr>
          <w:bCs w:val="0"/>
          <w:iCs/>
          <w:color w:val="381E37"/>
          <w:sz w:val="22"/>
          <w:szCs w:val="28"/>
        </w:rPr>
        <w:t xml:space="preserve">orkforce Disability </w:t>
      </w:r>
      <w:r w:rsidRPr="006D5911">
        <w:rPr>
          <w:bCs w:val="0"/>
          <w:iCs/>
          <w:color w:val="381E37"/>
          <w:sz w:val="22"/>
          <w:szCs w:val="28"/>
        </w:rPr>
        <w:t>E</w:t>
      </w:r>
      <w:r>
        <w:rPr>
          <w:bCs w:val="0"/>
          <w:iCs/>
          <w:color w:val="381E37"/>
          <w:sz w:val="22"/>
          <w:szCs w:val="28"/>
        </w:rPr>
        <w:t xml:space="preserve">quality </w:t>
      </w:r>
      <w:r w:rsidRPr="006D5911">
        <w:rPr>
          <w:bCs w:val="0"/>
          <w:iCs/>
          <w:color w:val="381E37"/>
          <w:sz w:val="22"/>
          <w:szCs w:val="28"/>
        </w:rPr>
        <w:t>S</w:t>
      </w:r>
      <w:r>
        <w:rPr>
          <w:bCs w:val="0"/>
          <w:iCs/>
          <w:color w:val="381E37"/>
          <w:sz w:val="22"/>
          <w:szCs w:val="28"/>
        </w:rPr>
        <w:t>tandard</w:t>
      </w:r>
      <w:r w:rsidRPr="006D5911">
        <w:rPr>
          <w:bCs w:val="0"/>
          <w:iCs/>
          <w:color w:val="381E37"/>
          <w:sz w:val="22"/>
          <w:szCs w:val="28"/>
        </w:rPr>
        <w:t xml:space="preserve"> </w:t>
      </w:r>
      <w:r>
        <w:rPr>
          <w:bCs w:val="0"/>
          <w:iCs/>
          <w:color w:val="381E37"/>
          <w:sz w:val="22"/>
          <w:szCs w:val="28"/>
        </w:rPr>
        <w:t>(W</w:t>
      </w:r>
      <w:r w:rsidR="00520F37">
        <w:rPr>
          <w:bCs w:val="0"/>
          <w:iCs/>
          <w:color w:val="381E37"/>
          <w:sz w:val="22"/>
          <w:szCs w:val="28"/>
        </w:rPr>
        <w:t>D</w:t>
      </w:r>
      <w:r>
        <w:rPr>
          <w:bCs w:val="0"/>
          <w:iCs/>
          <w:color w:val="381E37"/>
          <w:sz w:val="22"/>
          <w:szCs w:val="28"/>
        </w:rPr>
        <w:t xml:space="preserve">ES) </w:t>
      </w:r>
      <w:r w:rsidRPr="006D5911">
        <w:rPr>
          <w:bCs w:val="0"/>
          <w:iCs/>
          <w:color w:val="381E37"/>
          <w:sz w:val="22"/>
          <w:szCs w:val="28"/>
        </w:rPr>
        <w:t>findings for the Royal Marsden NHS Foundation Trust</w:t>
      </w:r>
      <w:r>
        <w:rPr>
          <w:bCs w:val="0"/>
          <w:iCs/>
          <w:color w:val="381E37"/>
          <w:sz w:val="22"/>
          <w:szCs w:val="28"/>
        </w:rPr>
        <w:t xml:space="preserve">; summarises </w:t>
      </w:r>
      <w:r w:rsidRPr="006D5911">
        <w:rPr>
          <w:bCs w:val="0"/>
          <w:iCs/>
          <w:color w:val="381E37"/>
          <w:sz w:val="22"/>
          <w:szCs w:val="28"/>
        </w:rPr>
        <w:t>progress made towards the 201</w:t>
      </w:r>
      <w:r>
        <w:rPr>
          <w:bCs w:val="0"/>
          <w:iCs/>
          <w:color w:val="381E37"/>
          <w:sz w:val="22"/>
          <w:szCs w:val="28"/>
        </w:rPr>
        <w:t>9</w:t>
      </w:r>
      <w:r w:rsidRPr="006D5911">
        <w:rPr>
          <w:bCs w:val="0"/>
          <w:iCs/>
          <w:color w:val="381E37"/>
          <w:sz w:val="22"/>
          <w:szCs w:val="28"/>
        </w:rPr>
        <w:t>/20</w:t>
      </w:r>
      <w:r>
        <w:rPr>
          <w:bCs w:val="0"/>
          <w:iCs/>
          <w:color w:val="381E37"/>
          <w:sz w:val="22"/>
          <w:szCs w:val="28"/>
        </w:rPr>
        <w:t xml:space="preserve">20 </w:t>
      </w:r>
      <w:r w:rsidRPr="006D5911">
        <w:rPr>
          <w:bCs w:val="0"/>
          <w:iCs/>
          <w:color w:val="381E37"/>
          <w:sz w:val="22"/>
          <w:szCs w:val="28"/>
        </w:rPr>
        <w:t>W</w:t>
      </w:r>
      <w:r>
        <w:rPr>
          <w:bCs w:val="0"/>
          <w:iCs/>
          <w:color w:val="381E37"/>
          <w:sz w:val="22"/>
          <w:szCs w:val="28"/>
        </w:rPr>
        <w:t>D</w:t>
      </w:r>
      <w:r w:rsidRPr="006D5911">
        <w:rPr>
          <w:bCs w:val="0"/>
          <w:iCs/>
          <w:color w:val="381E37"/>
          <w:sz w:val="22"/>
          <w:szCs w:val="28"/>
        </w:rPr>
        <w:t>ES action plan</w:t>
      </w:r>
      <w:r>
        <w:rPr>
          <w:bCs w:val="0"/>
          <w:iCs/>
          <w:color w:val="381E37"/>
          <w:sz w:val="22"/>
          <w:szCs w:val="28"/>
        </w:rPr>
        <w:t xml:space="preserve"> </w:t>
      </w:r>
      <w:r w:rsidRPr="006D5911">
        <w:rPr>
          <w:bCs w:val="0"/>
          <w:iCs/>
          <w:color w:val="381E37"/>
          <w:sz w:val="22"/>
          <w:szCs w:val="28"/>
        </w:rPr>
        <w:t>and</w:t>
      </w:r>
      <w:r>
        <w:rPr>
          <w:bCs w:val="0"/>
          <w:iCs/>
          <w:color w:val="381E37"/>
          <w:sz w:val="22"/>
          <w:szCs w:val="28"/>
        </w:rPr>
        <w:t xml:space="preserve"> outlines</w:t>
      </w:r>
      <w:r w:rsidRPr="006D5911">
        <w:rPr>
          <w:bCs w:val="0"/>
          <w:iCs/>
          <w:color w:val="381E37"/>
          <w:sz w:val="22"/>
          <w:szCs w:val="28"/>
        </w:rPr>
        <w:t xml:space="preserve"> the </w:t>
      </w:r>
      <w:r>
        <w:rPr>
          <w:bCs w:val="0"/>
          <w:iCs/>
          <w:color w:val="381E37"/>
          <w:sz w:val="22"/>
          <w:szCs w:val="28"/>
        </w:rPr>
        <w:t>WD</w:t>
      </w:r>
      <w:r w:rsidRPr="006D5911">
        <w:rPr>
          <w:bCs w:val="0"/>
          <w:iCs/>
          <w:color w:val="381E37"/>
          <w:sz w:val="22"/>
          <w:szCs w:val="28"/>
        </w:rPr>
        <w:t>ES priorities</w:t>
      </w:r>
      <w:r>
        <w:rPr>
          <w:bCs w:val="0"/>
          <w:iCs/>
          <w:color w:val="381E37"/>
          <w:sz w:val="22"/>
          <w:szCs w:val="28"/>
        </w:rPr>
        <w:t xml:space="preserve"> for 2020/2021</w:t>
      </w:r>
      <w:r w:rsidRPr="006D5911">
        <w:rPr>
          <w:bCs w:val="0"/>
          <w:iCs/>
          <w:color w:val="381E37"/>
          <w:sz w:val="22"/>
          <w:szCs w:val="28"/>
        </w:rPr>
        <w:t>.</w:t>
      </w:r>
    </w:p>
    <w:p w:rsidR="00FB74BE" w:rsidRPr="006D5911" w:rsidRDefault="004064DA" w:rsidP="00574BB8">
      <w:pPr>
        <w:pStyle w:val="Heading1"/>
        <w:numPr>
          <w:ilvl w:val="0"/>
          <w:numId w:val="0"/>
        </w:numPr>
        <w:jc w:val="both"/>
        <w:rPr>
          <w:bCs w:val="0"/>
          <w:iCs/>
          <w:color w:val="381E37"/>
          <w:sz w:val="22"/>
          <w:szCs w:val="28"/>
        </w:rPr>
      </w:pPr>
      <w:r w:rsidRPr="006D5911">
        <w:rPr>
          <w:bCs w:val="0"/>
          <w:iCs/>
          <w:color w:val="381E37"/>
          <w:sz w:val="22"/>
          <w:szCs w:val="28"/>
        </w:rPr>
        <w:t>The W</w:t>
      </w:r>
      <w:r w:rsidR="00A96DB6">
        <w:rPr>
          <w:bCs w:val="0"/>
          <w:iCs/>
          <w:color w:val="381E37"/>
          <w:sz w:val="22"/>
          <w:szCs w:val="28"/>
        </w:rPr>
        <w:t>D</w:t>
      </w:r>
      <w:r w:rsidRPr="006D5911">
        <w:rPr>
          <w:bCs w:val="0"/>
          <w:iCs/>
          <w:color w:val="381E37"/>
          <w:sz w:val="22"/>
          <w:szCs w:val="28"/>
        </w:rPr>
        <w:t xml:space="preserve">ES </w:t>
      </w:r>
      <w:r w:rsidR="003901BE">
        <w:rPr>
          <w:bCs w:val="0"/>
          <w:iCs/>
          <w:color w:val="381E37"/>
          <w:sz w:val="22"/>
          <w:szCs w:val="28"/>
        </w:rPr>
        <w:t xml:space="preserve">was </w:t>
      </w:r>
      <w:r w:rsidRPr="006D5911">
        <w:rPr>
          <w:bCs w:val="0"/>
          <w:iCs/>
          <w:color w:val="381E37"/>
          <w:sz w:val="22"/>
          <w:szCs w:val="28"/>
        </w:rPr>
        <w:t xml:space="preserve">designed to improve the representation and experience of </w:t>
      </w:r>
      <w:r w:rsidR="00A96DB6">
        <w:rPr>
          <w:bCs w:val="0"/>
          <w:iCs/>
          <w:color w:val="381E37"/>
          <w:sz w:val="22"/>
          <w:szCs w:val="28"/>
        </w:rPr>
        <w:t xml:space="preserve">disabled staff </w:t>
      </w:r>
      <w:r w:rsidRPr="006D5911">
        <w:rPr>
          <w:bCs w:val="0"/>
          <w:iCs/>
          <w:color w:val="381E37"/>
          <w:sz w:val="22"/>
          <w:szCs w:val="28"/>
        </w:rPr>
        <w:t xml:space="preserve">at all levels of the </w:t>
      </w:r>
      <w:r w:rsidR="006D5911">
        <w:rPr>
          <w:bCs w:val="0"/>
          <w:iCs/>
          <w:color w:val="381E37"/>
          <w:sz w:val="22"/>
          <w:szCs w:val="28"/>
        </w:rPr>
        <w:t>NHS</w:t>
      </w:r>
      <w:r w:rsidR="0045208E" w:rsidRPr="006D5911">
        <w:rPr>
          <w:bCs w:val="0"/>
          <w:iCs/>
          <w:color w:val="381E37"/>
          <w:sz w:val="22"/>
          <w:szCs w:val="28"/>
        </w:rPr>
        <w:t xml:space="preserve"> and </w:t>
      </w:r>
      <w:r w:rsidR="00A96DB6">
        <w:rPr>
          <w:bCs w:val="0"/>
          <w:iCs/>
          <w:color w:val="381E37"/>
          <w:sz w:val="22"/>
          <w:szCs w:val="28"/>
        </w:rPr>
        <w:t xml:space="preserve">to </w:t>
      </w:r>
      <w:r w:rsidR="0045208E" w:rsidRPr="006D5911">
        <w:rPr>
          <w:bCs w:val="0"/>
          <w:iCs/>
          <w:color w:val="381E37"/>
          <w:sz w:val="22"/>
          <w:szCs w:val="28"/>
        </w:rPr>
        <w:t>e</w:t>
      </w:r>
      <w:r w:rsidR="006D5911">
        <w:rPr>
          <w:bCs w:val="0"/>
          <w:iCs/>
          <w:color w:val="381E37"/>
          <w:sz w:val="22"/>
          <w:szCs w:val="28"/>
        </w:rPr>
        <w:t>s</w:t>
      </w:r>
      <w:r w:rsidR="00A96DB6">
        <w:rPr>
          <w:bCs w:val="0"/>
          <w:iCs/>
          <w:color w:val="381E37"/>
          <w:sz w:val="22"/>
          <w:szCs w:val="28"/>
        </w:rPr>
        <w:t>t</w:t>
      </w:r>
      <w:r w:rsidR="006D5911">
        <w:rPr>
          <w:bCs w:val="0"/>
          <w:iCs/>
          <w:color w:val="381E37"/>
          <w:sz w:val="22"/>
          <w:szCs w:val="28"/>
        </w:rPr>
        <w:t>ablish</w:t>
      </w:r>
      <w:r w:rsidR="0045208E" w:rsidRPr="006D5911">
        <w:rPr>
          <w:bCs w:val="0"/>
          <w:iCs/>
          <w:color w:val="381E37"/>
          <w:sz w:val="22"/>
          <w:szCs w:val="28"/>
        </w:rPr>
        <w:t xml:space="preserve"> systematic monitoring of </w:t>
      </w:r>
      <w:r w:rsidR="00A96DB6">
        <w:rPr>
          <w:bCs w:val="0"/>
          <w:iCs/>
          <w:color w:val="381E37"/>
          <w:sz w:val="22"/>
          <w:szCs w:val="28"/>
        </w:rPr>
        <w:t xml:space="preserve">disability </w:t>
      </w:r>
      <w:r w:rsidR="006D5911">
        <w:rPr>
          <w:bCs w:val="0"/>
          <w:iCs/>
          <w:color w:val="381E37"/>
          <w:sz w:val="22"/>
          <w:szCs w:val="28"/>
        </w:rPr>
        <w:t xml:space="preserve">equality </w:t>
      </w:r>
      <w:r w:rsidR="0045208E" w:rsidRPr="006D5911">
        <w:rPr>
          <w:bCs w:val="0"/>
          <w:iCs/>
          <w:color w:val="381E37"/>
          <w:sz w:val="22"/>
          <w:szCs w:val="28"/>
        </w:rPr>
        <w:t>performance</w:t>
      </w:r>
      <w:r w:rsidR="007B5FC3">
        <w:rPr>
          <w:bCs w:val="0"/>
          <w:iCs/>
          <w:color w:val="381E37"/>
          <w:sz w:val="22"/>
          <w:szCs w:val="28"/>
        </w:rPr>
        <w:t xml:space="preserve">. </w:t>
      </w:r>
      <w:r w:rsidR="003901BE">
        <w:rPr>
          <w:bCs w:val="0"/>
          <w:iCs/>
          <w:color w:val="381E37"/>
          <w:sz w:val="22"/>
          <w:szCs w:val="28"/>
        </w:rPr>
        <w:t xml:space="preserve">Since </w:t>
      </w:r>
      <w:r w:rsidR="00A96DB6">
        <w:rPr>
          <w:bCs w:val="0"/>
          <w:iCs/>
          <w:color w:val="381E37"/>
          <w:sz w:val="22"/>
          <w:szCs w:val="28"/>
        </w:rPr>
        <w:t>August 2019 a</w:t>
      </w:r>
      <w:r w:rsidR="006D5911" w:rsidRPr="006D5911">
        <w:rPr>
          <w:bCs w:val="0"/>
          <w:iCs/>
          <w:color w:val="381E37"/>
          <w:sz w:val="22"/>
          <w:szCs w:val="28"/>
        </w:rPr>
        <w:t xml:space="preserve">ll NHS organisations </w:t>
      </w:r>
      <w:r w:rsidR="00A96DB6">
        <w:rPr>
          <w:bCs w:val="0"/>
          <w:iCs/>
          <w:color w:val="381E37"/>
          <w:sz w:val="22"/>
          <w:szCs w:val="28"/>
        </w:rPr>
        <w:t>are</w:t>
      </w:r>
      <w:r w:rsidR="006D5911" w:rsidRPr="006D5911">
        <w:rPr>
          <w:bCs w:val="0"/>
          <w:iCs/>
          <w:color w:val="381E37"/>
          <w:sz w:val="22"/>
          <w:szCs w:val="28"/>
        </w:rPr>
        <w:t xml:space="preserve"> required to publish data against the </w:t>
      </w:r>
      <w:r w:rsidR="00A96DB6">
        <w:rPr>
          <w:bCs w:val="0"/>
          <w:iCs/>
          <w:color w:val="381E37"/>
          <w:sz w:val="22"/>
          <w:szCs w:val="28"/>
        </w:rPr>
        <w:t xml:space="preserve">ten </w:t>
      </w:r>
      <w:r w:rsidR="006D5911" w:rsidRPr="006D5911">
        <w:rPr>
          <w:bCs w:val="0"/>
          <w:iCs/>
          <w:color w:val="381E37"/>
          <w:sz w:val="22"/>
          <w:szCs w:val="28"/>
        </w:rPr>
        <w:t>W</w:t>
      </w:r>
      <w:r w:rsidR="00A96DB6">
        <w:rPr>
          <w:bCs w:val="0"/>
          <w:iCs/>
          <w:color w:val="381E37"/>
          <w:sz w:val="22"/>
          <w:szCs w:val="28"/>
        </w:rPr>
        <w:t>D</w:t>
      </w:r>
      <w:r w:rsidR="006D5911" w:rsidRPr="006D5911">
        <w:rPr>
          <w:bCs w:val="0"/>
          <w:iCs/>
          <w:color w:val="381E37"/>
          <w:sz w:val="22"/>
          <w:szCs w:val="28"/>
        </w:rPr>
        <w:t>ES</w:t>
      </w:r>
      <w:r w:rsidR="006D5911">
        <w:rPr>
          <w:bCs w:val="0"/>
          <w:iCs/>
          <w:color w:val="381E37"/>
          <w:sz w:val="22"/>
          <w:szCs w:val="28"/>
        </w:rPr>
        <w:t xml:space="preserve"> indicators </w:t>
      </w:r>
      <w:r w:rsidR="00180FC6">
        <w:rPr>
          <w:bCs w:val="0"/>
          <w:iCs/>
          <w:color w:val="381E37"/>
          <w:sz w:val="22"/>
          <w:szCs w:val="28"/>
        </w:rPr>
        <w:t xml:space="preserve">as at </w:t>
      </w:r>
      <w:r w:rsidR="00A96DB6">
        <w:rPr>
          <w:bCs w:val="0"/>
          <w:iCs/>
          <w:color w:val="381E37"/>
          <w:sz w:val="22"/>
          <w:szCs w:val="28"/>
        </w:rPr>
        <w:t xml:space="preserve">the </w:t>
      </w:r>
      <w:r w:rsidR="00C73E80">
        <w:rPr>
          <w:bCs w:val="0"/>
          <w:iCs/>
          <w:color w:val="381E37"/>
          <w:sz w:val="22"/>
          <w:szCs w:val="28"/>
        </w:rPr>
        <w:t>3</w:t>
      </w:r>
      <w:r w:rsidR="00180FC6">
        <w:rPr>
          <w:bCs w:val="0"/>
          <w:iCs/>
          <w:color w:val="381E37"/>
          <w:sz w:val="22"/>
          <w:szCs w:val="28"/>
        </w:rPr>
        <w:t>1 March</w:t>
      </w:r>
      <w:r w:rsidR="00A96DB6">
        <w:rPr>
          <w:bCs w:val="0"/>
          <w:iCs/>
          <w:color w:val="381E37"/>
          <w:sz w:val="22"/>
          <w:szCs w:val="28"/>
        </w:rPr>
        <w:t xml:space="preserve"> annually. </w:t>
      </w:r>
      <w:r w:rsidR="003901BE">
        <w:rPr>
          <w:bCs w:val="0"/>
          <w:iCs/>
          <w:color w:val="381E37"/>
          <w:sz w:val="22"/>
          <w:szCs w:val="28"/>
        </w:rPr>
        <w:t>In addition</w:t>
      </w:r>
      <w:r w:rsidR="006C37EC">
        <w:rPr>
          <w:bCs w:val="0"/>
          <w:iCs/>
          <w:color w:val="381E37"/>
          <w:sz w:val="22"/>
          <w:szCs w:val="28"/>
        </w:rPr>
        <w:t>,</w:t>
      </w:r>
      <w:r w:rsidR="003901BE">
        <w:rPr>
          <w:bCs w:val="0"/>
          <w:iCs/>
          <w:color w:val="381E37"/>
          <w:sz w:val="22"/>
          <w:szCs w:val="28"/>
        </w:rPr>
        <w:t xml:space="preserve"> organisations are </w:t>
      </w:r>
      <w:r w:rsidR="006C37EC">
        <w:rPr>
          <w:bCs w:val="0"/>
          <w:iCs/>
          <w:color w:val="381E37"/>
          <w:sz w:val="22"/>
          <w:szCs w:val="28"/>
        </w:rPr>
        <w:t xml:space="preserve">required to </w:t>
      </w:r>
      <w:r w:rsidR="00FB74BE" w:rsidRPr="006D5911">
        <w:rPr>
          <w:bCs w:val="0"/>
          <w:iCs/>
          <w:color w:val="381E37"/>
          <w:sz w:val="22"/>
          <w:szCs w:val="28"/>
        </w:rPr>
        <w:t>develop and publish a</w:t>
      </w:r>
      <w:r w:rsidR="00180FC6">
        <w:rPr>
          <w:bCs w:val="0"/>
          <w:iCs/>
          <w:color w:val="381E37"/>
          <w:sz w:val="22"/>
          <w:szCs w:val="28"/>
        </w:rPr>
        <w:t xml:space="preserve"> </w:t>
      </w:r>
      <w:r w:rsidR="00A96DB6">
        <w:rPr>
          <w:bCs w:val="0"/>
          <w:iCs/>
          <w:color w:val="381E37"/>
          <w:sz w:val="22"/>
          <w:szCs w:val="28"/>
        </w:rPr>
        <w:t xml:space="preserve">WDES </w:t>
      </w:r>
      <w:r w:rsidR="00180FC6">
        <w:rPr>
          <w:bCs w:val="0"/>
          <w:iCs/>
          <w:color w:val="381E37"/>
          <w:sz w:val="22"/>
          <w:szCs w:val="28"/>
        </w:rPr>
        <w:t xml:space="preserve">report and </w:t>
      </w:r>
      <w:r w:rsidR="00FB74BE" w:rsidRPr="006D5911">
        <w:rPr>
          <w:bCs w:val="0"/>
          <w:iCs/>
          <w:color w:val="381E37"/>
          <w:sz w:val="22"/>
          <w:szCs w:val="28"/>
        </w:rPr>
        <w:t xml:space="preserve">action plan </w:t>
      </w:r>
      <w:r w:rsidR="000D6D4E">
        <w:rPr>
          <w:bCs w:val="0"/>
          <w:iCs/>
          <w:color w:val="381E37"/>
          <w:sz w:val="22"/>
          <w:szCs w:val="28"/>
        </w:rPr>
        <w:t xml:space="preserve">by </w:t>
      </w:r>
      <w:r w:rsidR="007B5FC3" w:rsidRPr="00A80688">
        <w:rPr>
          <w:bCs w:val="0"/>
          <w:iCs/>
          <w:color w:val="381E37"/>
          <w:sz w:val="22"/>
          <w:szCs w:val="28"/>
        </w:rPr>
        <w:t xml:space="preserve">the </w:t>
      </w:r>
      <w:r w:rsidR="00A80688" w:rsidRPr="00A80688">
        <w:rPr>
          <w:bCs w:val="0"/>
          <w:iCs/>
          <w:color w:val="381E37"/>
          <w:sz w:val="22"/>
          <w:szCs w:val="28"/>
        </w:rPr>
        <w:t>3</w:t>
      </w:r>
      <w:r w:rsidR="00C73E80">
        <w:rPr>
          <w:bCs w:val="0"/>
          <w:iCs/>
          <w:color w:val="381E37"/>
          <w:sz w:val="22"/>
          <w:szCs w:val="28"/>
        </w:rPr>
        <w:t xml:space="preserve">1 October </w:t>
      </w:r>
      <w:r w:rsidR="00FB74BE" w:rsidRPr="00A80688">
        <w:rPr>
          <w:bCs w:val="0"/>
          <w:iCs/>
          <w:color w:val="381E37"/>
          <w:sz w:val="22"/>
          <w:szCs w:val="28"/>
        </w:rPr>
        <w:t>that is</w:t>
      </w:r>
      <w:r w:rsidR="00FB74BE" w:rsidRPr="006D5911">
        <w:rPr>
          <w:bCs w:val="0"/>
          <w:iCs/>
          <w:color w:val="381E37"/>
          <w:sz w:val="22"/>
          <w:szCs w:val="28"/>
        </w:rPr>
        <w:t xml:space="preserve"> based on the</w:t>
      </w:r>
      <w:r w:rsidR="00180FC6">
        <w:rPr>
          <w:bCs w:val="0"/>
          <w:iCs/>
          <w:color w:val="381E37"/>
          <w:sz w:val="22"/>
          <w:szCs w:val="28"/>
        </w:rPr>
        <w:t xml:space="preserve"> </w:t>
      </w:r>
      <w:r w:rsidR="007B5FC3">
        <w:rPr>
          <w:bCs w:val="0"/>
          <w:iCs/>
          <w:color w:val="381E37"/>
          <w:sz w:val="22"/>
          <w:szCs w:val="28"/>
        </w:rPr>
        <w:t>20</w:t>
      </w:r>
      <w:r w:rsidR="00C73E80">
        <w:rPr>
          <w:bCs w:val="0"/>
          <w:iCs/>
          <w:color w:val="381E37"/>
          <w:sz w:val="22"/>
          <w:szCs w:val="28"/>
        </w:rPr>
        <w:t>20</w:t>
      </w:r>
      <w:r w:rsidR="007B5FC3">
        <w:rPr>
          <w:bCs w:val="0"/>
          <w:iCs/>
          <w:color w:val="381E37"/>
          <w:sz w:val="22"/>
          <w:szCs w:val="28"/>
        </w:rPr>
        <w:t xml:space="preserve"> </w:t>
      </w:r>
      <w:r w:rsidR="00180FC6">
        <w:rPr>
          <w:bCs w:val="0"/>
          <w:iCs/>
          <w:color w:val="381E37"/>
          <w:sz w:val="22"/>
          <w:szCs w:val="28"/>
        </w:rPr>
        <w:t>W</w:t>
      </w:r>
      <w:r w:rsidR="00A96DB6">
        <w:rPr>
          <w:bCs w:val="0"/>
          <w:iCs/>
          <w:color w:val="381E37"/>
          <w:sz w:val="22"/>
          <w:szCs w:val="28"/>
        </w:rPr>
        <w:t>D</w:t>
      </w:r>
      <w:r w:rsidR="00180FC6">
        <w:rPr>
          <w:bCs w:val="0"/>
          <w:iCs/>
          <w:color w:val="381E37"/>
          <w:sz w:val="22"/>
          <w:szCs w:val="28"/>
        </w:rPr>
        <w:t xml:space="preserve">ES findings </w:t>
      </w:r>
      <w:r w:rsidR="006D5911">
        <w:rPr>
          <w:bCs w:val="0"/>
          <w:iCs/>
          <w:color w:val="381E37"/>
          <w:sz w:val="22"/>
          <w:szCs w:val="28"/>
        </w:rPr>
        <w:t>to</w:t>
      </w:r>
      <w:r w:rsidR="00FB74BE" w:rsidRPr="006D5911">
        <w:rPr>
          <w:bCs w:val="0"/>
          <w:iCs/>
          <w:color w:val="381E37"/>
          <w:sz w:val="22"/>
          <w:szCs w:val="28"/>
        </w:rPr>
        <w:t xml:space="preserve"> address any differences identified.</w:t>
      </w:r>
    </w:p>
    <w:p w:rsidR="003901BE" w:rsidRPr="006C37EC" w:rsidRDefault="00A96DB6" w:rsidP="006C37EC">
      <w:pPr>
        <w:pStyle w:val="Heading1"/>
        <w:numPr>
          <w:ilvl w:val="0"/>
          <w:numId w:val="0"/>
        </w:numPr>
        <w:jc w:val="both"/>
        <w:rPr>
          <w:bCs w:val="0"/>
          <w:iCs/>
          <w:color w:val="381E37"/>
          <w:sz w:val="22"/>
          <w:szCs w:val="28"/>
        </w:rPr>
      </w:pPr>
      <w:r>
        <w:rPr>
          <w:bCs w:val="0"/>
          <w:iCs/>
          <w:color w:val="381E37"/>
          <w:sz w:val="22"/>
          <w:szCs w:val="28"/>
        </w:rPr>
        <w:t xml:space="preserve">The WDES </w:t>
      </w:r>
      <w:r w:rsidR="003901BE">
        <w:rPr>
          <w:bCs w:val="0"/>
          <w:iCs/>
          <w:color w:val="381E37"/>
          <w:sz w:val="22"/>
          <w:szCs w:val="28"/>
        </w:rPr>
        <w:t xml:space="preserve">is a mandated requirement in </w:t>
      </w:r>
      <w:r>
        <w:rPr>
          <w:bCs w:val="0"/>
          <w:iCs/>
          <w:color w:val="381E37"/>
          <w:sz w:val="22"/>
          <w:szCs w:val="28"/>
        </w:rPr>
        <w:t xml:space="preserve">the </w:t>
      </w:r>
      <w:r w:rsidR="006D5911" w:rsidRPr="006D5911">
        <w:rPr>
          <w:bCs w:val="0"/>
          <w:iCs/>
          <w:color w:val="381E37"/>
          <w:sz w:val="22"/>
          <w:szCs w:val="28"/>
        </w:rPr>
        <w:t>NHS standard operating contract</w:t>
      </w:r>
      <w:r w:rsidR="003901BE">
        <w:rPr>
          <w:bCs w:val="0"/>
          <w:iCs/>
          <w:color w:val="381E37"/>
          <w:sz w:val="22"/>
          <w:szCs w:val="28"/>
        </w:rPr>
        <w:t>. It is expected that t</w:t>
      </w:r>
      <w:r w:rsidR="003901BE" w:rsidRPr="006D5911">
        <w:rPr>
          <w:bCs w:val="0"/>
          <w:iCs/>
          <w:color w:val="381E37"/>
          <w:sz w:val="22"/>
          <w:szCs w:val="28"/>
        </w:rPr>
        <w:t>he W</w:t>
      </w:r>
      <w:r w:rsidR="003901BE">
        <w:rPr>
          <w:bCs w:val="0"/>
          <w:iCs/>
          <w:color w:val="381E37"/>
          <w:sz w:val="22"/>
          <w:szCs w:val="28"/>
        </w:rPr>
        <w:t>D</w:t>
      </w:r>
      <w:r w:rsidR="003901BE" w:rsidRPr="006D5911">
        <w:rPr>
          <w:bCs w:val="0"/>
          <w:iCs/>
          <w:color w:val="381E37"/>
          <w:sz w:val="22"/>
          <w:szCs w:val="28"/>
        </w:rPr>
        <w:t xml:space="preserve">ES </w:t>
      </w:r>
      <w:r w:rsidR="003901BE">
        <w:rPr>
          <w:bCs w:val="0"/>
          <w:iCs/>
          <w:color w:val="381E37"/>
          <w:sz w:val="22"/>
          <w:szCs w:val="28"/>
        </w:rPr>
        <w:t xml:space="preserve">will be </w:t>
      </w:r>
      <w:r w:rsidR="003901BE" w:rsidRPr="006D5911">
        <w:rPr>
          <w:bCs w:val="0"/>
          <w:iCs/>
          <w:color w:val="381E37"/>
          <w:sz w:val="22"/>
          <w:szCs w:val="28"/>
        </w:rPr>
        <w:t xml:space="preserve">built into assurance and regulatory processes including the Care </w:t>
      </w:r>
      <w:r w:rsidR="003901BE">
        <w:rPr>
          <w:bCs w:val="0"/>
          <w:iCs/>
          <w:color w:val="381E37"/>
          <w:sz w:val="22"/>
          <w:szCs w:val="28"/>
        </w:rPr>
        <w:t>Quality Commissions (CQC) inspections.</w:t>
      </w:r>
    </w:p>
    <w:p w:rsidR="00FB74BE" w:rsidRDefault="00FB74BE" w:rsidP="00FB74BE">
      <w:pPr>
        <w:pStyle w:val="Heading1"/>
      </w:pPr>
      <w:r>
        <w:t>2019 W</w:t>
      </w:r>
      <w:r w:rsidR="006D5911">
        <w:t xml:space="preserve">orkforce </w:t>
      </w:r>
      <w:r w:rsidR="00A96DB6">
        <w:t xml:space="preserve">Disability </w:t>
      </w:r>
      <w:r>
        <w:t>E</w:t>
      </w:r>
      <w:r w:rsidR="006D5911">
        <w:t xml:space="preserve">quality </w:t>
      </w:r>
      <w:r>
        <w:t>S</w:t>
      </w:r>
      <w:r w:rsidR="006D5911">
        <w:t>tandard findings</w:t>
      </w:r>
    </w:p>
    <w:p w:rsidR="00BE0AD5" w:rsidRDefault="004064DA" w:rsidP="00574BB8">
      <w:pPr>
        <w:jc w:val="both"/>
      </w:pPr>
      <w:r w:rsidRPr="00BE0AD5">
        <w:t xml:space="preserve">There are </w:t>
      </w:r>
      <w:r w:rsidR="00A96DB6" w:rsidRPr="00BE0AD5">
        <w:t xml:space="preserve">ten </w:t>
      </w:r>
      <w:r w:rsidR="00FB74BE" w:rsidRPr="00BE0AD5">
        <w:t>W</w:t>
      </w:r>
      <w:r w:rsidR="00A96DB6" w:rsidRPr="00BE0AD5">
        <w:t>D</w:t>
      </w:r>
      <w:r w:rsidR="00FB74BE" w:rsidRPr="00BE0AD5">
        <w:t xml:space="preserve">ES </w:t>
      </w:r>
      <w:r w:rsidRPr="00BE0AD5">
        <w:t>indicators</w:t>
      </w:r>
      <w:r w:rsidR="00FB74BE" w:rsidRPr="00BE0AD5">
        <w:t xml:space="preserve">, </w:t>
      </w:r>
      <w:r w:rsidR="00BE0AD5" w:rsidRPr="00BE0AD5">
        <w:t>four</w:t>
      </w:r>
      <w:r w:rsidR="00FB74BE" w:rsidRPr="00BE0AD5">
        <w:t xml:space="preserve"> of the indicators focus on </w:t>
      </w:r>
      <w:r w:rsidRPr="00BE0AD5">
        <w:t xml:space="preserve">workforce </w:t>
      </w:r>
      <w:r w:rsidR="00FB74BE" w:rsidRPr="00BE0AD5">
        <w:t>data</w:t>
      </w:r>
      <w:r w:rsidRPr="00BE0AD5">
        <w:t xml:space="preserve"> (</w:t>
      </w:r>
      <w:r w:rsidR="0045208E" w:rsidRPr="00BE0AD5">
        <w:t xml:space="preserve">indicators </w:t>
      </w:r>
      <w:r w:rsidRPr="00BE0AD5">
        <w:t>1-</w:t>
      </w:r>
      <w:r w:rsidR="00BE0AD5" w:rsidRPr="00BE0AD5">
        <w:t>3 and 10</w:t>
      </w:r>
      <w:r w:rsidRPr="00BE0AD5">
        <w:t xml:space="preserve">), </w:t>
      </w:r>
      <w:r w:rsidR="00BE0AD5" w:rsidRPr="00BE0AD5">
        <w:t xml:space="preserve">six </w:t>
      </w:r>
      <w:r w:rsidR="0045208E" w:rsidRPr="00BE0AD5">
        <w:t xml:space="preserve">on findings from the annual </w:t>
      </w:r>
      <w:r w:rsidRPr="00BE0AD5">
        <w:t>staff survey (</w:t>
      </w:r>
      <w:r w:rsidR="0045208E" w:rsidRPr="00BE0AD5">
        <w:t xml:space="preserve">indicators </w:t>
      </w:r>
      <w:r w:rsidR="00BE0AD5" w:rsidRPr="00BE0AD5">
        <w:t>4</w:t>
      </w:r>
      <w:r w:rsidRPr="00BE0AD5">
        <w:t>-</w:t>
      </w:r>
      <w:r w:rsidR="00BE0AD5" w:rsidRPr="00BE0AD5">
        <w:t>9</w:t>
      </w:r>
      <w:r w:rsidRPr="00BE0AD5">
        <w:t xml:space="preserve">) and </w:t>
      </w:r>
      <w:r w:rsidR="00BE0AD5" w:rsidRPr="00BE0AD5">
        <w:t>a commentary is required in relation to how we listen to the voices of disable</w:t>
      </w:r>
      <w:r w:rsidR="006C37EC">
        <w:t>d</w:t>
      </w:r>
      <w:r w:rsidR="00BE0AD5" w:rsidRPr="00BE0AD5">
        <w:t xml:space="preserve"> staff in our organisation</w:t>
      </w:r>
      <w:r w:rsidR="00094541" w:rsidRPr="00BE0AD5">
        <w:t>.</w:t>
      </w:r>
      <w:r w:rsidR="004937D4">
        <w:t xml:space="preserve"> </w:t>
      </w:r>
    </w:p>
    <w:p w:rsidR="0045208E" w:rsidRPr="00BE0AD5" w:rsidRDefault="00344DCC" w:rsidP="00574BB8">
      <w:pPr>
        <w:jc w:val="both"/>
      </w:pPr>
      <w:r w:rsidRPr="00BE0AD5">
        <w:t xml:space="preserve">The nine </w:t>
      </w:r>
      <w:r w:rsidR="00A96DB6" w:rsidRPr="00BE0AD5">
        <w:t>indicators</w:t>
      </w:r>
      <w:r w:rsidR="0045208E" w:rsidRPr="00BE0AD5">
        <w:t xml:space="preserve"> </w:t>
      </w:r>
      <w:r w:rsidRPr="00BE0AD5">
        <w:t>a</w:t>
      </w:r>
      <w:r w:rsidR="0045208E" w:rsidRPr="00BE0AD5">
        <w:t xml:space="preserve">nd </w:t>
      </w:r>
      <w:r w:rsidR="00A96DB6" w:rsidRPr="00BE0AD5">
        <w:t xml:space="preserve">the </w:t>
      </w:r>
      <w:r w:rsidR="0045208E" w:rsidRPr="00BE0AD5">
        <w:t>20</w:t>
      </w:r>
      <w:r w:rsidR="00C73E80">
        <w:t>20</w:t>
      </w:r>
      <w:r w:rsidR="0045208E" w:rsidRPr="00BE0AD5">
        <w:t xml:space="preserve"> </w:t>
      </w:r>
      <w:r w:rsidR="00180FC6" w:rsidRPr="00BE0AD5">
        <w:t>W</w:t>
      </w:r>
      <w:r w:rsidR="00A96DB6" w:rsidRPr="00BE0AD5">
        <w:t>D</w:t>
      </w:r>
      <w:r w:rsidR="00180FC6" w:rsidRPr="00BE0AD5">
        <w:t xml:space="preserve">ES </w:t>
      </w:r>
      <w:r w:rsidR="0045208E" w:rsidRPr="00BE0AD5">
        <w:t xml:space="preserve">findings </w:t>
      </w:r>
      <w:r w:rsidR="005311F5" w:rsidRPr="00BE0AD5">
        <w:t>are</w:t>
      </w:r>
      <w:r w:rsidR="0045208E" w:rsidRPr="00BE0AD5">
        <w:t xml:space="preserve"> </w:t>
      </w:r>
      <w:r w:rsidR="005311F5" w:rsidRPr="00BE0AD5">
        <w:t xml:space="preserve">provided </w:t>
      </w:r>
      <w:r w:rsidR="0045208E" w:rsidRPr="00BE0AD5">
        <w:t xml:space="preserve">in </w:t>
      </w:r>
      <w:r w:rsidR="00180FC6" w:rsidRPr="00BE0AD5">
        <w:t>a</w:t>
      </w:r>
      <w:r w:rsidR="0045208E" w:rsidRPr="00BE0AD5">
        <w:t>ppendix 1.</w:t>
      </w:r>
    </w:p>
    <w:p w:rsidR="00FC4E70" w:rsidRPr="006F7B73" w:rsidRDefault="00936BF6" w:rsidP="00574BB8">
      <w:pPr>
        <w:jc w:val="both"/>
        <w:rPr>
          <w:color w:val="000000" w:themeColor="text1"/>
        </w:rPr>
      </w:pPr>
      <w:r w:rsidRPr="006F7B73">
        <w:rPr>
          <w:color w:val="000000" w:themeColor="text1"/>
        </w:rPr>
        <w:t>The t</w:t>
      </w:r>
      <w:r w:rsidR="0091077A" w:rsidRPr="006F7B73">
        <w:rPr>
          <w:color w:val="000000" w:themeColor="text1"/>
        </w:rPr>
        <w:t xml:space="preserve">otal number of staff </w:t>
      </w:r>
      <w:r w:rsidRPr="006F7B73">
        <w:rPr>
          <w:color w:val="000000" w:themeColor="text1"/>
        </w:rPr>
        <w:t>e</w:t>
      </w:r>
      <w:r w:rsidR="0091077A" w:rsidRPr="006F7B73">
        <w:rPr>
          <w:color w:val="000000" w:themeColor="text1"/>
        </w:rPr>
        <w:t xml:space="preserve">mployed within </w:t>
      </w:r>
      <w:r w:rsidRPr="006F7B73">
        <w:rPr>
          <w:color w:val="000000" w:themeColor="text1"/>
        </w:rPr>
        <w:t xml:space="preserve">The Royal Marsden NHS Foundation Trust </w:t>
      </w:r>
      <w:r w:rsidR="0045208E" w:rsidRPr="006F7B73">
        <w:rPr>
          <w:color w:val="000000" w:themeColor="text1"/>
        </w:rPr>
        <w:t>at 31 March 20</w:t>
      </w:r>
      <w:r w:rsidR="00C73E80" w:rsidRPr="006F7B73">
        <w:rPr>
          <w:color w:val="000000" w:themeColor="text1"/>
        </w:rPr>
        <w:t>20</w:t>
      </w:r>
      <w:r w:rsidRPr="006F7B73">
        <w:rPr>
          <w:color w:val="000000" w:themeColor="text1"/>
        </w:rPr>
        <w:t xml:space="preserve"> </w:t>
      </w:r>
      <w:r w:rsidR="00E93779" w:rsidRPr="006F7B73">
        <w:rPr>
          <w:color w:val="000000" w:themeColor="text1"/>
        </w:rPr>
        <w:t>was</w:t>
      </w:r>
      <w:r w:rsidRPr="006F7B73">
        <w:rPr>
          <w:color w:val="000000" w:themeColor="text1"/>
        </w:rPr>
        <w:t xml:space="preserve"> </w:t>
      </w:r>
      <w:r w:rsidR="0073187B" w:rsidRPr="006F7B73">
        <w:rPr>
          <w:color w:val="000000" w:themeColor="text1"/>
        </w:rPr>
        <w:t>41</w:t>
      </w:r>
      <w:r w:rsidR="006F7B73" w:rsidRPr="006F7B73">
        <w:rPr>
          <w:color w:val="000000" w:themeColor="text1"/>
        </w:rPr>
        <w:t>30</w:t>
      </w:r>
      <w:r w:rsidR="00094541" w:rsidRPr="006F7B73">
        <w:rPr>
          <w:color w:val="000000" w:themeColor="text1"/>
        </w:rPr>
        <w:t xml:space="preserve">. </w:t>
      </w:r>
      <w:r w:rsidR="00F03CB1" w:rsidRPr="006F7B73">
        <w:rPr>
          <w:color w:val="000000" w:themeColor="text1"/>
        </w:rPr>
        <w:t>Of these</w:t>
      </w:r>
      <w:r w:rsidR="007B5FC3" w:rsidRPr="006F7B73">
        <w:rPr>
          <w:color w:val="000000" w:themeColor="text1"/>
        </w:rPr>
        <w:t>,</w:t>
      </w:r>
      <w:r w:rsidR="00F03CB1" w:rsidRPr="006F7B73">
        <w:rPr>
          <w:color w:val="000000" w:themeColor="text1"/>
        </w:rPr>
        <w:t xml:space="preserve"> t</w:t>
      </w:r>
      <w:r w:rsidRPr="006F7B73">
        <w:rPr>
          <w:color w:val="000000" w:themeColor="text1"/>
        </w:rPr>
        <w:t>he p</w:t>
      </w:r>
      <w:r w:rsidR="0091077A" w:rsidRPr="006F7B73">
        <w:rPr>
          <w:color w:val="000000" w:themeColor="text1"/>
        </w:rPr>
        <w:t xml:space="preserve">roportion of </w:t>
      </w:r>
      <w:r w:rsidR="00BE0AD5" w:rsidRPr="006F7B73">
        <w:rPr>
          <w:color w:val="000000" w:themeColor="text1"/>
        </w:rPr>
        <w:t xml:space="preserve">staff employed who declared they had a </w:t>
      </w:r>
      <w:r w:rsidR="00A96DB6" w:rsidRPr="006F7B73">
        <w:rPr>
          <w:color w:val="000000" w:themeColor="text1"/>
        </w:rPr>
        <w:t>disab</w:t>
      </w:r>
      <w:r w:rsidR="00BE0AD5" w:rsidRPr="006F7B73">
        <w:rPr>
          <w:color w:val="000000" w:themeColor="text1"/>
        </w:rPr>
        <w:t>ility</w:t>
      </w:r>
      <w:r w:rsidR="0091077A" w:rsidRPr="006F7B73">
        <w:rPr>
          <w:color w:val="000000" w:themeColor="text1"/>
        </w:rPr>
        <w:t xml:space="preserve"> </w:t>
      </w:r>
      <w:r w:rsidR="00E93779" w:rsidRPr="006F7B73">
        <w:rPr>
          <w:color w:val="000000" w:themeColor="text1"/>
        </w:rPr>
        <w:t xml:space="preserve">was </w:t>
      </w:r>
      <w:r w:rsidR="00BE0AD5" w:rsidRPr="006F7B73">
        <w:rPr>
          <w:color w:val="000000" w:themeColor="text1"/>
        </w:rPr>
        <w:t>3% (</w:t>
      </w:r>
      <w:r w:rsidR="0091077A" w:rsidRPr="006F7B73">
        <w:rPr>
          <w:color w:val="000000" w:themeColor="text1"/>
        </w:rPr>
        <w:t>1</w:t>
      </w:r>
      <w:r w:rsidR="006F7B73" w:rsidRPr="006F7B73">
        <w:rPr>
          <w:color w:val="000000" w:themeColor="text1"/>
        </w:rPr>
        <w:t>29</w:t>
      </w:r>
      <w:r w:rsidR="00777C98" w:rsidRPr="006F7B73">
        <w:rPr>
          <w:color w:val="000000" w:themeColor="text1"/>
        </w:rPr>
        <w:t xml:space="preserve"> </w:t>
      </w:r>
      <w:r w:rsidR="0091077A" w:rsidRPr="006F7B73">
        <w:rPr>
          <w:color w:val="000000" w:themeColor="text1"/>
        </w:rPr>
        <w:t>staff</w:t>
      </w:r>
      <w:r w:rsidR="00BE0AD5" w:rsidRPr="006F7B73">
        <w:rPr>
          <w:color w:val="000000" w:themeColor="text1"/>
        </w:rPr>
        <w:t>)</w:t>
      </w:r>
      <w:r w:rsidR="00094541" w:rsidRPr="006F7B73">
        <w:rPr>
          <w:color w:val="000000" w:themeColor="text1"/>
        </w:rPr>
        <w:t xml:space="preserve"> with </w:t>
      </w:r>
      <w:r w:rsidR="00BE0AD5" w:rsidRPr="006F7B73">
        <w:rPr>
          <w:color w:val="000000" w:themeColor="text1"/>
        </w:rPr>
        <w:t>9</w:t>
      </w:r>
      <w:r w:rsidR="006F7B73" w:rsidRPr="006F7B73">
        <w:rPr>
          <w:color w:val="000000" w:themeColor="text1"/>
        </w:rPr>
        <w:t>1</w:t>
      </w:r>
      <w:r w:rsidR="00A96DB6" w:rsidRPr="006F7B73">
        <w:rPr>
          <w:color w:val="000000" w:themeColor="text1"/>
        </w:rPr>
        <w:t xml:space="preserve">% </w:t>
      </w:r>
      <w:r w:rsidR="007B5FC3" w:rsidRPr="006F7B73">
        <w:rPr>
          <w:color w:val="000000" w:themeColor="text1"/>
        </w:rPr>
        <w:t xml:space="preserve">declaring that they were </w:t>
      </w:r>
      <w:r w:rsidR="00A96DB6" w:rsidRPr="006F7B73">
        <w:rPr>
          <w:color w:val="000000" w:themeColor="text1"/>
        </w:rPr>
        <w:t xml:space="preserve">not disabled </w:t>
      </w:r>
      <w:r w:rsidR="00BE0AD5" w:rsidRPr="006F7B73">
        <w:rPr>
          <w:color w:val="000000" w:themeColor="text1"/>
        </w:rPr>
        <w:t>(3</w:t>
      </w:r>
      <w:r w:rsidR="006F7B73" w:rsidRPr="006F7B73">
        <w:rPr>
          <w:color w:val="000000" w:themeColor="text1"/>
        </w:rPr>
        <w:t>77</w:t>
      </w:r>
      <w:r w:rsidR="00BE0AD5" w:rsidRPr="006F7B73">
        <w:rPr>
          <w:color w:val="000000" w:themeColor="text1"/>
        </w:rPr>
        <w:t xml:space="preserve">3 staff) and 6% of </w:t>
      </w:r>
      <w:r w:rsidR="00094541" w:rsidRPr="006F7B73">
        <w:rPr>
          <w:color w:val="000000" w:themeColor="text1"/>
        </w:rPr>
        <w:t xml:space="preserve">staff </w:t>
      </w:r>
      <w:r w:rsidR="00BE0AD5" w:rsidRPr="006F7B73">
        <w:rPr>
          <w:color w:val="000000" w:themeColor="text1"/>
        </w:rPr>
        <w:t xml:space="preserve">not </w:t>
      </w:r>
      <w:r w:rsidR="00094541" w:rsidRPr="006F7B73">
        <w:rPr>
          <w:color w:val="000000" w:themeColor="text1"/>
        </w:rPr>
        <w:t xml:space="preserve">disclosing their </w:t>
      </w:r>
      <w:r w:rsidR="00A96DB6" w:rsidRPr="006F7B73">
        <w:rPr>
          <w:color w:val="000000" w:themeColor="text1"/>
        </w:rPr>
        <w:t>disability status</w:t>
      </w:r>
      <w:r w:rsidR="00BE0AD5" w:rsidRPr="006F7B73">
        <w:rPr>
          <w:color w:val="000000" w:themeColor="text1"/>
        </w:rPr>
        <w:t xml:space="preserve"> (2</w:t>
      </w:r>
      <w:r w:rsidR="006F7B73" w:rsidRPr="006F7B73">
        <w:rPr>
          <w:color w:val="000000" w:themeColor="text1"/>
        </w:rPr>
        <w:t>28</w:t>
      </w:r>
      <w:r w:rsidR="00BE0AD5" w:rsidRPr="006F7B73">
        <w:rPr>
          <w:color w:val="000000" w:themeColor="text1"/>
        </w:rPr>
        <w:t xml:space="preserve"> staff).</w:t>
      </w:r>
      <w:r w:rsidR="00F80446" w:rsidRPr="006F7B73">
        <w:rPr>
          <w:color w:val="000000" w:themeColor="text1"/>
        </w:rPr>
        <w:t xml:space="preserve"> </w:t>
      </w:r>
    </w:p>
    <w:p w:rsidR="00E75DBC" w:rsidRPr="00B57658" w:rsidRDefault="00E75DBC" w:rsidP="00574BB8">
      <w:pPr>
        <w:jc w:val="both"/>
        <w:rPr>
          <w:color w:val="000000" w:themeColor="text1"/>
        </w:rPr>
      </w:pPr>
      <w:r w:rsidRPr="00B57658">
        <w:rPr>
          <w:color w:val="000000" w:themeColor="text1"/>
        </w:rPr>
        <w:t>The key findings from the 20</w:t>
      </w:r>
      <w:r w:rsidR="00C73E80" w:rsidRPr="00B57658">
        <w:rPr>
          <w:color w:val="000000" w:themeColor="text1"/>
        </w:rPr>
        <w:t>20</w:t>
      </w:r>
      <w:r w:rsidRPr="00B57658">
        <w:rPr>
          <w:color w:val="000000" w:themeColor="text1"/>
        </w:rPr>
        <w:t xml:space="preserve"> </w:t>
      </w:r>
      <w:r w:rsidR="00BE0AD5" w:rsidRPr="00B57658">
        <w:rPr>
          <w:color w:val="000000" w:themeColor="text1"/>
        </w:rPr>
        <w:t xml:space="preserve">WDES </w:t>
      </w:r>
      <w:r w:rsidRPr="00B57658">
        <w:rPr>
          <w:color w:val="000000" w:themeColor="text1"/>
        </w:rPr>
        <w:t>data are:</w:t>
      </w:r>
    </w:p>
    <w:p w:rsidR="0030188F" w:rsidRPr="00B57658" w:rsidRDefault="006E04D8" w:rsidP="007B5FC3">
      <w:pPr>
        <w:pStyle w:val="ListParagraph"/>
        <w:numPr>
          <w:ilvl w:val="0"/>
          <w:numId w:val="47"/>
        </w:numPr>
        <w:contextualSpacing w:val="0"/>
        <w:jc w:val="both"/>
        <w:rPr>
          <w:color w:val="000000" w:themeColor="text1"/>
        </w:rPr>
      </w:pPr>
      <w:r w:rsidRPr="00B57658">
        <w:rPr>
          <w:color w:val="000000" w:themeColor="text1"/>
        </w:rPr>
        <w:t xml:space="preserve">The percentage of staff declaring a disability remains at 3% </w:t>
      </w:r>
      <w:r w:rsidR="00745C3C" w:rsidRPr="00B57658">
        <w:rPr>
          <w:color w:val="000000" w:themeColor="text1"/>
        </w:rPr>
        <w:t xml:space="preserve">(indicator 1)  </w:t>
      </w:r>
    </w:p>
    <w:p w:rsidR="0030188F" w:rsidRPr="00B57658" w:rsidRDefault="00202F57" w:rsidP="007B5FC3">
      <w:pPr>
        <w:pStyle w:val="ListParagraph"/>
        <w:numPr>
          <w:ilvl w:val="0"/>
          <w:numId w:val="47"/>
        </w:numPr>
        <w:contextualSpacing w:val="0"/>
        <w:jc w:val="both"/>
        <w:rPr>
          <w:color w:val="000000" w:themeColor="text1"/>
        </w:rPr>
      </w:pPr>
      <w:r w:rsidRPr="00B57658">
        <w:rPr>
          <w:color w:val="000000" w:themeColor="text1"/>
        </w:rPr>
        <w:t>An increase</w:t>
      </w:r>
      <w:r w:rsidR="006E04D8" w:rsidRPr="00B57658">
        <w:rPr>
          <w:color w:val="000000" w:themeColor="text1"/>
        </w:rPr>
        <w:t xml:space="preserve"> has been noted</w:t>
      </w:r>
      <w:r w:rsidRPr="00B57658">
        <w:rPr>
          <w:color w:val="000000" w:themeColor="text1"/>
        </w:rPr>
        <w:t xml:space="preserve"> in the likelihood of </w:t>
      </w:r>
      <w:r w:rsidR="00520F37" w:rsidRPr="00B57658">
        <w:rPr>
          <w:color w:val="000000" w:themeColor="text1"/>
        </w:rPr>
        <w:t>Non-disabled</w:t>
      </w:r>
      <w:r w:rsidR="00BE0AD5" w:rsidRPr="00B57658">
        <w:rPr>
          <w:color w:val="000000" w:themeColor="text1"/>
        </w:rPr>
        <w:t xml:space="preserve"> staff more likely to be </w:t>
      </w:r>
      <w:r w:rsidR="0030188F" w:rsidRPr="00B57658">
        <w:rPr>
          <w:color w:val="000000" w:themeColor="text1"/>
        </w:rPr>
        <w:t xml:space="preserve">appointed from shortlisting compared with </w:t>
      </w:r>
      <w:r w:rsidR="00BE0AD5" w:rsidRPr="00B57658">
        <w:rPr>
          <w:color w:val="000000" w:themeColor="text1"/>
        </w:rPr>
        <w:t>disable</w:t>
      </w:r>
      <w:r w:rsidR="003103FC" w:rsidRPr="00B57658">
        <w:rPr>
          <w:color w:val="000000" w:themeColor="text1"/>
        </w:rPr>
        <w:t>d</w:t>
      </w:r>
      <w:r w:rsidR="00BE0AD5" w:rsidRPr="00B57658">
        <w:rPr>
          <w:color w:val="000000" w:themeColor="text1"/>
        </w:rPr>
        <w:t xml:space="preserve"> staff</w:t>
      </w:r>
      <w:r w:rsidR="006E04D8" w:rsidRPr="00B57658">
        <w:rPr>
          <w:color w:val="000000" w:themeColor="text1"/>
        </w:rPr>
        <w:t>; in 2019 it was 1.29 and this year it stands at 1.36</w:t>
      </w:r>
      <w:r w:rsidR="007E55ED" w:rsidRPr="00B57658">
        <w:rPr>
          <w:color w:val="000000" w:themeColor="text1"/>
        </w:rPr>
        <w:t xml:space="preserve"> </w:t>
      </w:r>
      <w:r w:rsidR="0030188F" w:rsidRPr="00B57658">
        <w:rPr>
          <w:color w:val="000000" w:themeColor="text1"/>
        </w:rPr>
        <w:t>(indicator 2)</w:t>
      </w:r>
    </w:p>
    <w:p w:rsidR="00202F57" w:rsidRPr="00B57658" w:rsidRDefault="00B57658" w:rsidP="007B5FC3">
      <w:pPr>
        <w:pStyle w:val="ListParagraph"/>
        <w:numPr>
          <w:ilvl w:val="0"/>
          <w:numId w:val="47"/>
        </w:numPr>
        <w:contextualSpacing w:val="0"/>
        <w:jc w:val="both"/>
        <w:rPr>
          <w:color w:val="000000" w:themeColor="text1"/>
        </w:rPr>
      </w:pPr>
      <w:r w:rsidRPr="00B57658">
        <w:rPr>
          <w:color w:val="000000" w:themeColor="text1"/>
        </w:rPr>
        <w:t xml:space="preserve">The likelihood for disabled staff entering formal capability proceedings reduced to 5.35 from 7 times more likely last year </w:t>
      </w:r>
      <w:r w:rsidR="00202F57" w:rsidRPr="00B57658">
        <w:rPr>
          <w:color w:val="000000" w:themeColor="text1"/>
        </w:rPr>
        <w:t>(indicator 3)</w:t>
      </w:r>
    </w:p>
    <w:p w:rsidR="007B5FC3" w:rsidRPr="00B57658" w:rsidRDefault="007B5FC3" w:rsidP="007B5FC3">
      <w:pPr>
        <w:pStyle w:val="ListParagraph"/>
        <w:numPr>
          <w:ilvl w:val="0"/>
          <w:numId w:val="47"/>
        </w:numPr>
        <w:contextualSpacing w:val="0"/>
        <w:jc w:val="both"/>
        <w:rPr>
          <w:color w:val="000000" w:themeColor="text1"/>
        </w:rPr>
      </w:pPr>
      <w:r w:rsidRPr="00B57658">
        <w:rPr>
          <w:color w:val="000000" w:themeColor="text1"/>
        </w:rPr>
        <w:t xml:space="preserve">From the national staff survey </w:t>
      </w:r>
      <w:r w:rsidR="00520F37" w:rsidRPr="00B57658">
        <w:rPr>
          <w:color w:val="000000" w:themeColor="text1"/>
        </w:rPr>
        <w:t>findings,</w:t>
      </w:r>
      <w:r w:rsidR="005945AD">
        <w:rPr>
          <w:color w:val="000000" w:themeColor="text1"/>
        </w:rPr>
        <w:t xml:space="preserve"> we noted an overall reduction in the number of staff feeling or reporting bullying or harassment compared to 2019</w:t>
      </w:r>
      <w:r w:rsidRPr="00B57658">
        <w:rPr>
          <w:color w:val="000000" w:themeColor="text1"/>
        </w:rPr>
        <w:t>:</w:t>
      </w:r>
    </w:p>
    <w:p w:rsidR="007E55ED" w:rsidRPr="005945AD" w:rsidRDefault="007B5FC3" w:rsidP="00D64ACB">
      <w:pPr>
        <w:pStyle w:val="ListParagraph"/>
        <w:numPr>
          <w:ilvl w:val="0"/>
          <w:numId w:val="48"/>
        </w:numPr>
        <w:contextualSpacing w:val="0"/>
        <w:jc w:val="both"/>
        <w:rPr>
          <w:color w:val="000000" w:themeColor="text1"/>
        </w:rPr>
      </w:pPr>
      <w:r w:rsidRPr="005945AD">
        <w:rPr>
          <w:color w:val="000000" w:themeColor="text1"/>
        </w:rPr>
        <w:t>d</w:t>
      </w:r>
      <w:r w:rsidR="007E55ED" w:rsidRPr="005945AD">
        <w:rPr>
          <w:color w:val="000000" w:themeColor="text1"/>
        </w:rPr>
        <w:t>isabled staff report</w:t>
      </w:r>
      <w:r w:rsidRPr="005945AD">
        <w:rPr>
          <w:color w:val="000000" w:themeColor="text1"/>
        </w:rPr>
        <w:t>ed</w:t>
      </w:r>
      <w:r w:rsidR="007E55ED" w:rsidRPr="005945AD">
        <w:rPr>
          <w:color w:val="000000" w:themeColor="text1"/>
        </w:rPr>
        <w:t xml:space="preserve"> experiencing more harassment and bullying from patients than </w:t>
      </w:r>
      <w:r w:rsidR="00520F37" w:rsidRPr="005945AD">
        <w:rPr>
          <w:color w:val="000000" w:themeColor="text1"/>
        </w:rPr>
        <w:t>non-disabled</w:t>
      </w:r>
      <w:r w:rsidR="007E55ED" w:rsidRPr="005945AD">
        <w:rPr>
          <w:color w:val="000000" w:themeColor="text1"/>
        </w:rPr>
        <w:t xml:space="preserve"> staff – </w:t>
      </w:r>
      <w:r w:rsidR="00B57658" w:rsidRPr="005945AD">
        <w:rPr>
          <w:color w:val="000000" w:themeColor="text1"/>
        </w:rPr>
        <w:t>17.8% (</w:t>
      </w:r>
      <w:r w:rsidR="007E55ED" w:rsidRPr="005945AD">
        <w:rPr>
          <w:color w:val="000000" w:themeColor="text1"/>
        </w:rPr>
        <w:t>23%</w:t>
      </w:r>
      <w:r w:rsidR="00B57658" w:rsidRPr="005945AD">
        <w:rPr>
          <w:color w:val="000000" w:themeColor="text1"/>
        </w:rPr>
        <w:t xml:space="preserve"> in 2019)</w:t>
      </w:r>
      <w:r w:rsidR="007E55ED" w:rsidRPr="005945AD">
        <w:rPr>
          <w:color w:val="000000" w:themeColor="text1"/>
        </w:rPr>
        <w:t xml:space="preserve"> disabled staff</w:t>
      </w:r>
      <w:r w:rsidRPr="005945AD">
        <w:rPr>
          <w:color w:val="000000" w:themeColor="text1"/>
        </w:rPr>
        <w:t xml:space="preserve">, </w:t>
      </w:r>
      <w:r w:rsidR="00B57658" w:rsidRPr="005945AD">
        <w:rPr>
          <w:color w:val="000000" w:themeColor="text1"/>
        </w:rPr>
        <w:t>16.3% (</w:t>
      </w:r>
      <w:r w:rsidR="007E55ED" w:rsidRPr="005945AD">
        <w:rPr>
          <w:color w:val="000000" w:themeColor="text1"/>
        </w:rPr>
        <w:t>18%</w:t>
      </w:r>
      <w:r w:rsidR="00B57658" w:rsidRPr="005945AD">
        <w:rPr>
          <w:color w:val="000000" w:themeColor="text1"/>
        </w:rPr>
        <w:t xml:space="preserve"> in 2019)</w:t>
      </w:r>
      <w:r w:rsidR="007E55ED" w:rsidRPr="005945AD">
        <w:rPr>
          <w:color w:val="000000" w:themeColor="text1"/>
        </w:rPr>
        <w:t xml:space="preserve"> not disabled staff (indicator 4ai)</w:t>
      </w:r>
    </w:p>
    <w:p w:rsidR="007E55ED" w:rsidRPr="005945AD" w:rsidRDefault="007E55ED" w:rsidP="00D64ACB">
      <w:pPr>
        <w:pStyle w:val="ListParagraph"/>
        <w:numPr>
          <w:ilvl w:val="0"/>
          <w:numId w:val="48"/>
        </w:numPr>
        <w:contextualSpacing w:val="0"/>
        <w:jc w:val="both"/>
        <w:rPr>
          <w:color w:val="000000" w:themeColor="text1"/>
        </w:rPr>
      </w:pPr>
      <w:r w:rsidRPr="005945AD">
        <w:rPr>
          <w:color w:val="000000" w:themeColor="text1"/>
        </w:rPr>
        <w:t>disabled staff report</w:t>
      </w:r>
      <w:r w:rsidR="007B5FC3" w:rsidRPr="005945AD">
        <w:rPr>
          <w:color w:val="000000" w:themeColor="text1"/>
        </w:rPr>
        <w:t>ed</w:t>
      </w:r>
      <w:r w:rsidRPr="005945AD">
        <w:rPr>
          <w:color w:val="000000" w:themeColor="text1"/>
        </w:rPr>
        <w:t xml:space="preserve"> experiencing more harassment and bullying from managers than </w:t>
      </w:r>
      <w:r w:rsidR="00520F37" w:rsidRPr="005945AD">
        <w:rPr>
          <w:color w:val="000000" w:themeColor="text1"/>
        </w:rPr>
        <w:t>non-disabled</w:t>
      </w:r>
      <w:r w:rsidRPr="005945AD">
        <w:rPr>
          <w:color w:val="000000" w:themeColor="text1"/>
        </w:rPr>
        <w:t xml:space="preserve"> staff – </w:t>
      </w:r>
      <w:r w:rsidR="00B57658" w:rsidRPr="005945AD">
        <w:rPr>
          <w:color w:val="000000" w:themeColor="text1"/>
        </w:rPr>
        <w:t>13.6% (</w:t>
      </w:r>
      <w:r w:rsidRPr="005945AD">
        <w:rPr>
          <w:color w:val="000000" w:themeColor="text1"/>
        </w:rPr>
        <w:t>15%</w:t>
      </w:r>
      <w:r w:rsidR="00B57658" w:rsidRPr="005945AD">
        <w:rPr>
          <w:color w:val="000000" w:themeColor="text1"/>
        </w:rPr>
        <w:t xml:space="preserve"> in 2019)</w:t>
      </w:r>
      <w:r w:rsidR="00DE2607" w:rsidRPr="005945AD">
        <w:rPr>
          <w:color w:val="000000" w:themeColor="text1"/>
        </w:rPr>
        <w:t xml:space="preserve"> </w:t>
      </w:r>
      <w:r w:rsidRPr="005945AD">
        <w:rPr>
          <w:color w:val="000000" w:themeColor="text1"/>
        </w:rPr>
        <w:t>disabled staff</w:t>
      </w:r>
      <w:r w:rsidR="007B5FC3" w:rsidRPr="005945AD">
        <w:rPr>
          <w:color w:val="000000" w:themeColor="text1"/>
        </w:rPr>
        <w:t>,</w:t>
      </w:r>
      <w:r w:rsidRPr="005945AD">
        <w:rPr>
          <w:color w:val="000000" w:themeColor="text1"/>
        </w:rPr>
        <w:t xml:space="preserve"> </w:t>
      </w:r>
      <w:r w:rsidR="00DE2607" w:rsidRPr="005945AD">
        <w:rPr>
          <w:color w:val="000000" w:themeColor="text1"/>
        </w:rPr>
        <w:t>8.8%</w:t>
      </w:r>
      <w:r w:rsidRPr="005945AD">
        <w:rPr>
          <w:color w:val="000000" w:themeColor="text1"/>
        </w:rPr>
        <w:t xml:space="preserve"> not disabled staff </w:t>
      </w:r>
      <w:r w:rsidR="00DE2607" w:rsidRPr="005945AD">
        <w:rPr>
          <w:color w:val="000000" w:themeColor="text1"/>
        </w:rPr>
        <w:t xml:space="preserve">(9% in 2019) </w:t>
      </w:r>
      <w:r w:rsidRPr="005945AD">
        <w:rPr>
          <w:color w:val="000000" w:themeColor="text1"/>
        </w:rPr>
        <w:t>(indicator 4aii)</w:t>
      </w:r>
    </w:p>
    <w:p w:rsidR="007E55ED" w:rsidRPr="005945AD" w:rsidRDefault="00D64ACB" w:rsidP="00D64ACB">
      <w:pPr>
        <w:pStyle w:val="ListParagraph"/>
        <w:numPr>
          <w:ilvl w:val="0"/>
          <w:numId w:val="48"/>
        </w:numPr>
        <w:contextualSpacing w:val="0"/>
        <w:jc w:val="both"/>
        <w:rPr>
          <w:color w:val="000000" w:themeColor="text1"/>
        </w:rPr>
      </w:pPr>
      <w:r w:rsidRPr="005945AD">
        <w:rPr>
          <w:color w:val="000000" w:themeColor="text1"/>
        </w:rPr>
        <w:t>d</w:t>
      </w:r>
      <w:r w:rsidR="007E55ED" w:rsidRPr="005945AD">
        <w:rPr>
          <w:color w:val="000000" w:themeColor="text1"/>
        </w:rPr>
        <w:t>isabled staff report</w:t>
      </w:r>
      <w:r w:rsidRPr="005945AD">
        <w:rPr>
          <w:color w:val="000000" w:themeColor="text1"/>
        </w:rPr>
        <w:t>ed</w:t>
      </w:r>
      <w:r w:rsidR="007E55ED" w:rsidRPr="005945AD">
        <w:rPr>
          <w:color w:val="000000" w:themeColor="text1"/>
        </w:rPr>
        <w:t xml:space="preserve"> experiencing more harassment and bullying from other colleagues than not disabled staff </w:t>
      </w:r>
      <w:r w:rsidR="00520F37" w:rsidRPr="005945AD">
        <w:rPr>
          <w:color w:val="000000" w:themeColor="text1"/>
        </w:rPr>
        <w:t>– 28.8</w:t>
      </w:r>
      <w:r w:rsidR="005945AD" w:rsidRPr="005945AD">
        <w:rPr>
          <w:color w:val="000000" w:themeColor="text1"/>
        </w:rPr>
        <w:t>% (</w:t>
      </w:r>
      <w:r w:rsidR="007E55ED" w:rsidRPr="005945AD">
        <w:rPr>
          <w:color w:val="000000" w:themeColor="text1"/>
        </w:rPr>
        <w:t>28%</w:t>
      </w:r>
      <w:r w:rsidR="005945AD" w:rsidRPr="005945AD">
        <w:rPr>
          <w:color w:val="000000" w:themeColor="text1"/>
        </w:rPr>
        <w:t xml:space="preserve"> in 2019)</w:t>
      </w:r>
      <w:r w:rsidR="007E55ED" w:rsidRPr="005945AD">
        <w:rPr>
          <w:color w:val="000000" w:themeColor="text1"/>
        </w:rPr>
        <w:t xml:space="preserve"> disabled staff</w:t>
      </w:r>
      <w:r w:rsidRPr="005945AD">
        <w:rPr>
          <w:color w:val="000000" w:themeColor="text1"/>
        </w:rPr>
        <w:t xml:space="preserve">, </w:t>
      </w:r>
      <w:r w:rsidR="005945AD" w:rsidRPr="005945AD">
        <w:rPr>
          <w:color w:val="000000" w:themeColor="text1"/>
        </w:rPr>
        <w:t>17.5% (</w:t>
      </w:r>
      <w:r w:rsidR="007E55ED" w:rsidRPr="005945AD">
        <w:rPr>
          <w:color w:val="000000" w:themeColor="text1"/>
        </w:rPr>
        <w:t>17%</w:t>
      </w:r>
      <w:r w:rsidR="005945AD" w:rsidRPr="005945AD">
        <w:rPr>
          <w:color w:val="000000" w:themeColor="text1"/>
        </w:rPr>
        <w:t xml:space="preserve"> in 2019)</w:t>
      </w:r>
      <w:r w:rsidR="007E55ED" w:rsidRPr="005945AD">
        <w:rPr>
          <w:color w:val="000000" w:themeColor="text1"/>
        </w:rPr>
        <w:t xml:space="preserve"> not disabled staff (indicator 4aiii)</w:t>
      </w:r>
    </w:p>
    <w:p w:rsidR="007E55ED" w:rsidRPr="005945AD" w:rsidRDefault="00714A5E" w:rsidP="00D64ACB">
      <w:pPr>
        <w:pStyle w:val="ListParagraph"/>
        <w:numPr>
          <w:ilvl w:val="0"/>
          <w:numId w:val="48"/>
        </w:numPr>
        <w:contextualSpacing w:val="0"/>
        <w:jc w:val="both"/>
        <w:rPr>
          <w:color w:val="000000" w:themeColor="text1"/>
        </w:rPr>
      </w:pPr>
      <w:r w:rsidRPr="005945AD">
        <w:rPr>
          <w:color w:val="000000" w:themeColor="text1"/>
        </w:rPr>
        <w:t>t</w:t>
      </w:r>
      <w:r w:rsidR="007E55ED" w:rsidRPr="005945AD">
        <w:rPr>
          <w:color w:val="000000" w:themeColor="text1"/>
        </w:rPr>
        <w:t xml:space="preserve">he proportion of disabled staff who reported the last time they </w:t>
      </w:r>
      <w:r w:rsidR="00D64ACB" w:rsidRPr="005945AD">
        <w:rPr>
          <w:color w:val="000000" w:themeColor="text1"/>
        </w:rPr>
        <w:t>e</w:t>
      </w:r>
      <w:r w:rsidR="007E55ED" w:rsidRPr="005945AD">
        <w:rPr>
          <w:color w:val="000000" w:themeColor="text1"/>
        </w:rPr>
        <w:t xml:space="preserve">xperienced harassment or bullying was </w:t>
      </w:r>
      <w:r w:rsidR="005945AD" w:rsidRPr="005945AD">
        <w:rPr>
          <w:color w:val="000000" w:themeColor="text1"/>
        </w:rPr>
        <w:t xml:space="preserve">marginally lower </w:t>
      </w:r>
      <w:r w:rsidR="007E55ED" w:rsidRPr="005945AD">
        <w:rPr>
          <w:color w:val="000000" w:themeColor="text1"/>
        </w:rPr>
        <w:t xml:space="preserve">than the proportion of not disabled staff </w:t>
      </w:r>
      <w:r w:rsidR="007E55ED" w:rsidRPr="005945AD">
        <w:rPr>
          <w:color w:val="000000" w:themeColor="text1"/>
        </w:rPr>
        <w:lastRenderedPageBreak/>
        <w:t xml:space="preserve">– disabled staff </w:t>
      </w:r>
      <w:r w:rsidR="005945AD" w:rsidRPr="005945AD">
        <w:rPr>
          <w:color w:val="000000" w:themeColor="text1"/>
        </w:rPr>
        <w:t>48.9% (</w:t>
      </w:r>
      <w:r w:rsidR="007E55ED" w:rsidRPr="005945AD">
        <w:rPr>
          <w:color w:val="000000" w:themeColor="text1"/>
        </w:rPr>
        <w:t>55%</w:t>
      </w:r>
      <w:r w:rsidR="005945AD" w:rsidRPr="005945AD">
        <w:rPr>
          <w:color w:val="000000" w:themeColor="text1"/>
        </w:rPr>
        <w:t xml:space="preserve"> in 2019)</w:t>
      </w:r>
      <w:r w:rsidR="00D64ACB" w:rsidRPr="005945AD">
        <w:rPr>
          <w:color w:val="000000" w:themeColor="text1"/>
        </w:rPr>
        <w:t>,</w:t>
      </w:r>
      <w:r w:rsidR="007E55ED" w:rsidRPr="005945AD">
        <w:rPr>
          <w:color w:val="000000" w:themeColor="text1"/>
        </w:rPr>
        <w:t xml:space="preserve"> not disabled staff </w:t>
      </w:r>
      <w:r w:rsidR="005945AD" w:rsidRPr="005945AD">
        <w:rPr>
          <w:color w:val="000000" w:themeColor="text1"/>
        </w:rPr>
        <w:t>49.2% (</w:t>
      </w:r>
      <w:r w:rsidR="007E55ED" w:rsidRPr="005945AD">
        <w:rPr>
          <w:color w:val="000000" w:themeColor="text1"/>
        </w:rPr>
        <w:t>54%</w:t>
      </w:r>
      <w:r w:rsidR="005945AD" w:rsidRPr="005945AD">
        <w:rPr>
          <w:color w:val="000000" w:themeColor="text1"/>
        </w:rPr>
        <w:t xml:space="preserve"> in 2019) this year</w:t>
      </w:r>
      <w:r w:rsidR="007E55ED" w:rsidRPr="005945AD">
        <w:rPr>
          <w:color w:val="000000" w:themeColor="text1"/>
        </w:rPr>
        <w:t xml:space="preserve"> (indicator 4b)</w:t>
      </w:r>
    </w:p>
    <w:p w:rsidR="007E55ED" w:rsidRPr="005945AD" w:rsidRDefault="007E55ED" w:rsidP="00D64ACB">
      <w:pPr>
        <w:pStyle w:val="ListParagraph"/>
        <w:numPr>
          <w:ilvl w:val="0"/>
          <w:numId w:val="48"/>
        </w:numPr>
        <w:contextualSpacing w:val="0"/>
        <w:jc w:val="both"/>
        <w:rPr>
          <w:color w:val="000000" w:themeColor="text1"/>
        </w:rPr>
      </w:pPr>
      <w:r w:rsidRPr="005945AD">
        <w:rPr>
          <w:color w:val="000000" w:themeColor="text1"/>
        </w:rPr>
        <w:t>Not disabled staff had a higher score</w:t>
      </w:r>
      <w:r w:rsidR="00714A5E" w:rsidRPr="005945AD">
        <w:rPr>
          <w:color w:val="000000" w:themeColor="text1"/>
        </w:rPr>
        <w:t xml:space="preserve"> than disabled staff </w:t>
      </w:r>
      <w:r w:rsidRPr="005945AD">
        <w:rPr>
          <w:color w:val="000000" w:themeColor="text1"/>
        </w:rPr>
        <w:t xml:space="preserve">for believing </w:t>
      </w:r>
      <w:r w:rsidR="00714A5E" w:rsidRPr="005945AD">
        <w:rPr>
          <w:color w:val="000000" w:themeColor="text1"/>
        </w:rPr>
        <w:t>that the Trust provides equal opportunities for career progression and promotion –</w:t>
      </w:r>
      <w:r w:rsidR="005945AD">
        <w:rPr>
          <w:color w:val="000000" w:themeColor="text1"/>
        </w:rPr>
        <w:t>77.2% (79% in 2019)</w:t>
      </w:r>
      <w:r w:rsidR="00714A5E" w:rsidRPr="005945AD">
        <w:rPr>
          <w:color w:val="000000" w:themeColor="text1"/>
        </w:rPr>
        <w:t xml:space="preserve"> disabled</w:t>
      </w:r>
      <w:r w:rsidR="00D64ACB" w:rsidRPr="005945AD">
        <w:rPr>
          <w:color w:val="000000" w:themeColor="text1"/>
        </w:rPr>
        <w:t xml:space="preserve">, </w:t>
      </w:r>
      <w:r w:rsidR="005945AD">
        <w:rPr>
          <w:color w:val="000000" w:themeColor="text1"/>
        </w:rPr>
        <w:t>84.1% (</w:t>
      </w:r>
      <w:r w:rsidR="00714A5E" w:rsidRPr="005945AD">
        <w:rPr>
          <w:color w:val="000000" w:themeColor="text1"/>
        </w:rPr>
        <w:t>87%</w:t>
      </w:r>
      <w:r w:rsidR="005945AD">
        <w:rPr>
          <w:color w:val="000000" w:themeColor="text1"/>
        </w:rPr>
        <w:t xml:space="preserve"> in 2019)</w:t>
      </w:r>
      <w:r w:rsidR="00714A5E" w:rsidRPr="005945AD">
        <w:rPr>
          <w:color w:val="000000" w:themeColor="text1"/>
        </w:rPr>
        <w:t xml:space="preserve"> not disabled staff (indicator 5)</w:t>
      </w:r>
    </w:p>
    <w:p w:rsidR="00714A5E" w:rsidRPr="005945AD" w:rsidRDefault="00714A5E" w:rsidP="00D64ACB">
      <w:pPr>
        <w:pStyle w:val="ListParagraph"/>
        <w:numPr>
          <w:ilvl w:val="0"/>
          <w:numId w:val="48"/>
        </w:numPr>
        <w:contextualSpacing w:val="0"/>
        <w:jc w:val="both"/>
        <w:rPr>
          <w:color w:val="000000" w:themeColor="text1"/>
        </w:rPr>
      </w:pPr>
      <w:r w:rsidRPr="005945AD">
        <w:rPr>
          <w:color w:val="000000" w:themeColor="text1"/>
        </w:rPr>
        <w:t>more disabled staff than not disabled staff felt</w:t>
      </w:r>
      <w:r w:rsidR="005945AD" w:rsidRPr="005945AD">
        <w:rPr>
          <w:color w:val="000000" w:themeColor="text1"/>
        </w:rPr>
        <w:t xml:space="preserve"> </w:t>
      </w:r>
      <w:r w:rsidRPr="005945AD">
        <w:rPr>
          <w:color w:val="000000" w:themeColor="text1"/>
        </w:rPr>
        <w:t xml:space="preserve">under pressure from their manager to come to work despite not feeling well enough </w:t>
      </w:r>
      <w:r w:rsidR="00FD4338" w:rsidRPr="005945AD">
        <w:rPr>
          <w:color w:val="000000" w:themeColor="text1"/>
        </w:rPr>
        <w:t>to</w:t>
      </w:r>
      <w:r w:rsidRPr="005945AD">
        <w:rPr>
          <w:color w:val="000000" w:themeColor="text1"/>
        </w:rPr>
        <w:t xml:space="preserve"> perform their duties – </w:t>
      </w:r>
      <w:r w:rsidR="005945AD" w:rsidRPr="005945AD">
        <w:rPr>
          <w:color w:val="000000" w:themeColor="text1"/>
        </w:rPr>
        <w:t>22.5%</w:t>
      </w:r>
      <w:r w:rsidRPr="005945AD">
        <w:rPr>
          <w:color w:val="000000" w:themeColor="text1"/>
        </w:rPr>
        <w:t xml:space="preserve"> disabled</w:t>
      </w:r>
      <w:r w:rsidR="00D64ACB" w:rsidRPr="005945AD">
        <w:rPr>
          <w:color w:val="000000" w:themeColor="text1"/>
        </w:rPr>
        <w:t xml:space="preserve">, </w:t>
      </w:r>
      <w:r w:rsidRPr="005945AD">
        <w:rPr>
          <w:color w:val="000000" w:themeColor="text1"/>
        </w:rPr>
        <w:t>1</w:t>
      </w:r>
      <w:r w:rsidR="005945AD" w:rsidRPr="005945AD">
        <w:rPr>
          <w:color w:val="000000" w:themeColor="text1"/>
        </w:rPr>
        <w:t>8.9</w:t>
      </w:r>
      <w:r w:rsidRPr="005945AD">
        <w:rPr>
          <w:color w:val="000000" w:themeColor="text1"/>
        </w:rPr>
        <w:t xml:space="preserve">% not disabled staff </w:t>
      </w:r>
      <w:r w:rsidR="00520F37" w:rsidRPr="005945AD">
        <w:rPr>
          <w:color w:val="000000" w:themeColor="text1"/>
        </w:rPr>
        <w:t>(indicator</w:t>
      </w:r>
      <w:r w:rsidRPr="005945AD">
        <w:rPr>
          <w:color w:val="000000" w:themeColor="text1"/>
        </w:rPr>
        <w:t xml:space="preserve"> 6)</w:t>
      </w:r>
    </w:p>
    <w:p w:rsidR="00714A5E" w:rsidRPr="00F80446" w:rsidRDefault="00D64ACB" w:rsidP="00D64ACB">
      <w:pPr>
        <w:pStyle w:val="ListParagraph"/>
        <w:numPr>
          <w:ilvl w:val="0"/>
          <w:numId w:val="48"/>
        </w:numPr>
        <w:contextualSpacing w:val="0"/>
        <w:jc w:val="both"/>
        <w:rPr>
          <w:color w:val="000000" w:themeColor="text1"/>
        </w:rPr>
      </w:pPr>
      <w:r w:rsidRPr="00F80446">
        <w:rPr>
          <w:color w:val="000000" w:themeColor="text1"/>
        </w:rPr>
        <w:t>d</w:t>
      </w:r>
      <w:r w:rsidR="00714A5E" w:rsidRPr="00F80446">
        <w:rPr>
          <w:color w:val="000000" w:themeColor="text1"/>
        </w:rPr>
        <w:t xml:space="preserve">isabled staff were less satisfied with the extent to which the organisation values their work than not disabled staff – </w:t>
      </w:r>
      <w:r w:rsidR="00F80446" w:rsidRPr="00F80446">
        <w:rPr>
          <w:color w:val="000000" w:themeColor="text1"/>
        </w:rPr>
        <w:t>42.7%</w:t>
      </w:r>
      <w:r w:rsidR="00714A5E" w:rsidRPr="00F80446">
        <w:rPr>
          <w:color w:val="000000" w:themeColor="text1"/>
        </w:rPr>
        <w:t xml:space="preserve"> disabled staff</w:t>
      </w:r>
      <w:r w:rsidRPr="00F80446">
        <w:rPr>
          <w:color w:val="000000" w:themeColor="text1"/>
        </w:rPr>
        <w:t xml:space="preserve">, </w:t>
      </w:r>
      <w:r w:rsidR="00714A5E" w:rsidRPr="00F80446">
        <w:rPr>
          <w:color w:val="000000" w:themeColor="text1"/>
        </w:rPr>
        <w:t>5</w:t>
      </w:r>
      <w:r w:rsidR="00F80446" w:rsidRPr="00F80446">
        <w:rPr>
          <w:color w:val="000000" w:themeColor="text1"/>
        </w:rPr>
        <w:t>7.4</w:t>
      </w:r>
      <w:r w:rsidR="00714A5E" w:rsidRPr="00F80446">
        <w:rPr>
          <w:color w:val="000000" w:themeColor="text1"/>
        </w:rPr>
        <w:t>% not disabled staff (indicator 7)</w:t>
      </w:r>
    </w:p>
    <w:p w:rsidR="00714A5E" w:rsidRPr="00F80446" w:rsidRDefault="00F80446" w:rsidP="00D64ACB">
      <w:pPr>
        <w:pStyle w:val="ListParagraph"/>
        <w:numPr>
          <w:ilvl w:val="0"/>
          <w:numId w:val="48"/>
        </w:numPr>
        <w:contextualSpacing w:val="0"/>
        <w:jc w:val="both"/>
        <w:rPr>
          <w:color w:val="000000" w:themeColor="text1"/>
        </w:rPr>
      </w:pPr>
      <w:r w:rsidRPr="00F80446">
        <w:rPr>
          <w:color w:val="000000" w:themeColor="text1"/>
        </w:rPr>
        <w:t>80.9</w:t>
      </w:r>
      <w:r w:rsidR="00714A5E" w:rsidRPr="00F80446">
        <w:rPr>
          <w:color w:val="000000" w:themeColor="text1"/>
        </w:rPr>
        <w:t>% of disabled staff survey respondents said the Trust had made adequate adjustments to enable them to carry out their work (indicator 8)</w:t>
      </w:r>
    </w:p>
    <w:p w:rsidR="00714A5E" w:rsidRPr="00F80446" w:rsidRDefault="00714A5E" w:rsidP="00D64ACB">
      <w:pPr>
        <w:pStyle w:val="ListParagraph"/>
        <w:numPr>
          <w:ilvl w:val="0"/>
          <w:numId w:val="48"/>
        </w:numPr>
        <w:contextualSpacing w:val="0"/>
        <w:jc w:val="both"/>
        <w:rPr>
          <w:color w:val="000000" w:themeColor="text1"/>
        </w:rPr>
      </w:pPr>
      <w:r w:rsidRPr="00F80446">
        <w:rPr>
          <w:color w:val="000000" w:themeColor="text1"/>
        </w:rPr>
        <w:t>not disabled staff reported a higher engagement score than disabled staff – 7.</w:t>
      </w:r>
      <w:r w:rsidR="00F80446" w:rsidRPr="00F80446">
        <w:rPr>
          <w:color w:val="000000" w:themeColor="text1"/>
        </w:rPr>
        <w:t>3</w:t>
      </w:r>
      <w:r w:rsidRPr="00F80446">
        <w:rPr>
          <w:color w:val="000000" w:themeColor="text1"/>
        </w:rPr>
        <w:t xml:space="preserve"> / 10 disabled staff</w:t>
      </w:r>
      <w:r w:rsidR="00D64ACB" w:rsidRPr="00F80446">
        <w:rPr>
          <w:color w:val="000000" w:themeColor="text1"/>
        </w:rPr>
        <w:t xml:space="preserve">, </w:t>
      </w:r>
      <w:r w:rsidRPr="00F80446">
        <w:rPr>
          <w:color w:val="000000" w:themeColor="text1"/>
        </w:rPr>
        <w:t>7.</w:t>
      </w:r>
      <w:r w:rsidR="00F80446" w:rsidRPr="00F80446">
        <w:rPr>
          <w:color w:val="000000" w:themeColor="text1"/>
        </w:rPr>
        <w:t>7</w:t>
      </w:r>
      <w:r w:rsidRPr="00F80446">
        <w:rPr>
          <w:color w:val="000000" w:themeColor="text1"/>
        </w:rPr>
        <w:t xml:space="preserve"> / 10 not disabled staff (indicator </w:t>
      </w:r>
      <w:r w:rsidR="00A0476F" w:rsidRPr="00F80446">
        <w:rPr>
          <w:color w:val="000000" w:themeColor="text1"/>
        </w:rPr>
        <w:t>9</w:t>
      </w:r>
      <w:r w:rsidRPr="00F80446">
        <w:rPr>
          <w:color w:val="000000" w:themeColor="text1"/>
        </w:rPr>
        <w:t>a)</w:t>
      </w:r>
    </w:p>
    <w:p w:rsidR="00A0476F" w:rsidRPr="00202F57" w:rsidRDefault="00A0476F" w:rsidP="00574BB8">
      <w:pPr>
        <w:pStyle w:val="ListParagraph"/>
        <w:numPr>
          <w:ilvl w:val="0"/>
          <w:numId w:val="40"/>
        </w:numPr>
        <w:ind w:left="357" w:hanging="357"/>
        <w:contextualSpacing w:val="0"/>
        <w:jc w:val="both"/>
        <w:rPr>
          <w:color w:val="000000" w:themeColor="text1"/>
        </w:rPr>
      </w:pPr>
      <w:r w:rsidRPr="00202F57">
        <w:rPr>
          <w:color w:val="000000" w:themeColor="text1"/>
        </w:rPr>
        <w:t xml:space="preserve">The network for staff with disabilities and health conditions, established in 2018 provides an opportunity for the Trust to listen to the voices of disabled staff and those with health conditions about their experiences at work and how we can improve them. </w:t>
      </w:r>
      <w:r w:rsidR="00520F37">
        <w:rPr>
          <w:color w:val="000000" w:themeColor="text1"/>
        </w:rPr>
        <w:t>This is a</w:t>
      </w:r>
      <w:r w:rsidRPr="00202F57">
        <w:rPr>
          <w:color w:val="000000" w:themeColor="text1"/>
        </w:rPr>
        <w:t>lso a forum for discussing the WDES findings (indicator 9b)</w:t>
      </w:r>
    </w:p>
    <w:p w:rsidR="00755CCD" w:rsidRPr="00D7281B" w:rsidRDefault="00A0476F" w:rsidP="00E522D7">
      <w:pPr>
        <w:pStyle w:val="ListParagraph"/>
        <w:numPr>
          <w:ilvl w:val="0"/>
          <w:numId w:val="40"/>
        </w:numPr>
        <w:ind w:left="357" w:hanging="357"/>
        <w:contextualSpacing w:val="0"/>
        <w:jc w:val="both"/>
        <w:rPr>
          <w:color w:val="000000" w:themeColor="text1"/>
        </w:rPr>
      </w:pPr>
      <w:r w:rsidRPr="00D7281B">
        <w:rPr>
          <w:color w:val="000000" w:themeColor="text1"/>
        </w:rPr>
        <w:t>The</w:t>
      </w:r>
      <w:r w:rsidR="00D7281B">
        <w:rPr>
          <w:color w:val="000000" w:themeColor="text1"/>
        </w:rPr>
        <w:t xml:space="preserve"> p</w:t>
      </w:r>
      <w:r w:rsidRPr="00D7281B">
        <w:rPr>
          <w:color w:val="000000" w:themeColor="text1"/>
        </w:rPr>
        <w:t>roportion of the Board (Executive and Non-Executive Directors combined) who have a disability</w:t>
      </w:r>
      <w:r w:rsidR="00D7281B">
        <w:rPr>
          <w:color w:val="000000" w:themeColor="text1"/>
        </w:rPr>
        <w:t xml:space="preserve"> (8%)</w:t>
      </w:r>
      <w:r w:rsidRPr="00D7281B">
        <w:rPr>
          <w:color w:val="000000" w:themeColor="text1"/>
        </w:rPr>
        <w:t xml:space="preserve"> is </w:t>
      </w:r>
      <w:r w:rsidR="00520F37" w:rsidRPr="00D7281B">
        <w:rPr>
          <w:color w:val="000000" w:themeColor="text1"/>
        </w:rPr>
        <w:t>higher</w:t>
      </w:r>
      <w:r w:rsidR="00520F37">
        <w:rPr>
          <w:color w:val="000000" w:themeColor="text1"/>
        </w:rPr>
        <w:t xml:space="preserve"> </w:t>
      </w:r>
      <w:r w:rsidR="00520F37" w:rsidRPr="00D7281B">
        <w:rPr>
          <w:color w:val="000000" w:themeColor="text1"/>
        </w:rPr>
        <w:t>than</w:t>
      </w:r>
      <w:r w:rsidRPr="00D7281B">
        <w:rPr>
          <w:color w:val="000000" w:themeColor="text1"/>
        </w:rPr>
        <w:t xml:space="preserve"> the proportion of disabled staff in the overall workforce</w:t>
      </w:r>
      <w:r w:rsidR="00D7281B">
        <w:rPr>
          <w:color w:val="000000" w:themeColor="text1"/>
        </w:rPr>
        <w:t xml:space="preserve"> (3%) </w:t>
      </w:r>
      <w:r w:rsidRPr="00D7281B">
        <w:rPr>
          <w:color w:val="000000" w:themeColor="text1"/>
        </w:rPr>
        <w:t xml:space="preserve">(indicator 10) </w:t>
      </w:r>
    </w:p>
    <w:p w:rsidR="00BC5E3F" w:rsidRPr="00755CCD" w:rsidRDefault="00A0476F" w:rsidP="00755CCD">
      <w:pPr>
        <w:pStyle w:val="ListParagraph"/>
        <w:ind w:left="357"/>
        <w:contextualSpacing w:val="0"/>
        <w:jc w:val="both"/>
        <w:rPr>
          <w:color w:val="000000" w:themeColor="text1"/>
        </w:rPr>
      </w:pPr>
      <w:r w:rsidRPr="00755CCD">
        <w:rPr>
          <w:color w:val="000000" w:themeColor="text1"/>
        </w:rPr>
        <w:t>N</w:t>
      </w:r>
      <w:r w:rsidR="00BC5E3F" w:rsidRPr="00755CCD">
        <w:rPr>
          <w:b/>
          <w:color w:val="000000" w:themeColor="text1"/>
        </w:rPr>
        <w:t>ote</w:t>
      </w:r>
      <w:r w:rsidR="00745C3C" w:rsidRPr="00755CCD">
        <w:rPr>
          <w:b/>
          <w:color w:val="000000" w:themeColor="text1"/>
        </w:rPr>
        <w:t xml:space="preserve">: </w:t>
      </w:r>
      <w:r w:rsidR="00745C3C" w:rsidRPr="00755CCD">
        <w:rPr>
          <w:color w:val="000000" w:themeColor="text1"/>
        </w:rPr>
        <w:t>d</w:t>
      </w:r>
      <w:r w:rsidR="00BC5E3F" w:rsidRPr="00755CCD">
        <w:rPr>
          <w:color w:val="000000" w:themeColor="text1"/>
        </w:rPr>
        <w:t>ata for indicators 1 and 9 is as at 31 March 2019</w:t>
      </w:r>
      <w:r w:rsidR="00745C3C" w:rsidRPr="00755CCD">
        <w:rPr>
          <w:color w:val="000000" w:themeColor="text1"/>
        </w:rPr>
        <w:t xml:space="preserve">, </w:t>
      </w:r>
      <w:r w:rsidR="00BC5E3F" w:rsidRPr="00755CCD">
        <w:rPr>
          <w:color w:val="000000" w:themeColor="text1"/>
        </w:rPr>
        <w:t>indicator 2 is from the period 1 March 2018 to 31 March 20</w:t>
      </w:r>
      <w:r w:rsidR="0073187B" w:rsidRPr="00755CCD">
        <w:rPr>
          <w:color w:val="000000" w:themeColor="text1"/>
        </w:rPr>
        <w:t>20</w:t>
      </w:r>
      <w:r w:rsidR="00745C3C" w:rsidRPr="00755CCD">
        <w:rPr>
          <w:color w:val="000000" w:themeColor="text1"/>
        </w:rPr>
        <w:t xml:space="preserve">, </w:t>
      </w:r>
      <w:r w:rsidR="00BC5E3F" w:rsidRPr="00755CCD">
        <w:rPr>
          <w:color w:val="000000" w:themeColor="text1"/>
        </w:rPr>
        <w:t>indicator</w:t>
      </w:r>
      <w:r w:rsidRPr="00755CCD">
        <w:rPr>
          <w:color w:val="000000" w:themeColor="text1"/>
        </w:rPr>
        <w:t>s</w:t>
      </w:r>
      <w:r w:rsidR="00BC5E3F" w:rsidRPr="00755CCD">
        <w:rPr>
          <w:color w:val="000000" w:themeColor="text1"/>
        </w:rPr>
        <w:t xml:space="preserve"> </w:t>
      </w:r>
      <w:r w:rsidRPr="00755CCD">
        <w:rPr>
          <w:color w:val="000000" w:themeColor="text1"/>
        </w:rPr>
        <w:t xml:space="preserve">4-9 are </w:t>
      </w:r>
      <w:r w:rsidR="00BC5E3F" w:rsidRPr="00755CCD">
        <w:rPr>
          <w:color w:val="000000" w:themeColor="text1"/>
        </w:rPr>
        <w:t>taken from the national staff survey findings</w:t>
      </w:r>
      <w:r w:rsidR="0073187B" w:rsidRPr="00755CCD">
        <w:rPr>
          <w:color w:val="000000" w:themeColor="text1"/>
        </w:rPr>
        <w:t>.</w:t>
      </w:r>
    </w:p>
    <w:p w:rsidR="001C5989" w:rsidRDefault="00E75DBC" w:rsidP="001C5989">
      <w:pPr>
        <w:pStyle w:val="Heading1"/>
      </w:pPr>
      <w:r>
        <w:t xml:space="preserve">Review of </w:t>
      </w:r>
      <w:r w:rsidR="00F72155">
        <w:t xml:space="preserve">2019-2020 </w:t>
      </w:r>
      <w:r w:rsidR="00D64ACB">
        <w:t>d</w:t>
      </w:r>
      <w:r w:rsidR="00A0476F">
        <w:t xml:space="preserve">isability </w:t>
      </w:r>
      <w:r w:rsidR="00F72155">
        <w:t>action plan</w:t>
      </w:r>
    </w:p>
    <w:p w:rsidR="00F72155" w:rsidRPr="00F72155" w:rsidRDefault="00F72155" w:rsidP="00F72155">
      <w:pPr>
        <w:pStyle w:val="Heading1"/>
        <w:numPr>
          <w:ilvl w:val="0"/>
          <w:numId w:val="0"/>
        </w:numPr>
        <w:rPr>
          <w:color w:val="000000" w:themeColor="text1"/>
          <w:sz w:val="22"/>
          <w:szCs w:val="22"/>
        </w:rPr>
      </w:pPr>
      <w:r w:rsidRPr="00F72155">
        <w:rPr>
          <w:color w:val="000000" w:themeColor="text1"/>
          <w:sz w:val="22"/>
          <w:szCs w:val="22"/>
        </w:rPr>
        <w:t>Actions were agreed by the Equality, Diversity and Inclusion Steering Group in 2019 to maintain and improve performance against the W</w:t>
      </w:r>
      <w:r>
        <w:rPr>
          <w:color w:val="000000" w:themeColor="text1"/>
          <w:sz w:val="22"/>
          <w:szCs w:val="22"/>
        </w:rPr>
        <w:t>D</w:t>
      </w:r>
      <w:r w:rsidRPr="00F72155">
        <w:rPr>
          <w:color w:val="000000" w:themeColor="text1"/>
          <w:sz w:val="22"/>
          <w:szCs w:val="22"/>
        </w:rPr>
        <w:t xml:space="preserve">ES indicators set out in Table 1 below. The status of progress made against each outcome is also highlighted in the table below. </w:t>
      </w:r>
    </w:p>
    <w:tbl>
      <w:tblPr>
        <w:tblStyle w:val="TableGrid"/>
        <w:tblW w:w="0" w:type="auto"/>
        <w:tblInd w:w="108" w:type="dxa"/>
        <w:tblLayout w:type="fixed"/>
        <w:tblLook w:val="04A0" w:firstRow="1" w:lastRow="0" w:firstColumn="1" w:lastColumn="0" w:noHBand="0" w:noVBand="1"/>
      </w:tblPr>
      <w:tblGrid>
        <w:gridCol w:w="426"/>
        <w:gridCol w:w="2126"/>
        <w:gridCol w:w="3685"/>
        <w:gridCol w:w="1843"/>
        <w:gridCol w:w="1325"/>
      </w:tblGrid>
      <w:tr w:rsidR="00F72155" w:rsidRPr="00574BB8" w:rsidTr="00715A5C">
        <w:tc>
          <w:tcPr>
            <w:tcW w:w="9405" w:type="dxa"/>
            <w:gridSpan w:val="5"/>
            <w:shd w:val="clear" w:color="auto" w:fill="79FFFC"/>
          </w:tcPr>
          <w:p w:rsidR="00F72155" w:rsidRPr="00574BB8" w:rsidRDefault="00F72155" w:rsidP="00715A5C">
            <w:pPr>
              <w:jc w:val="center"/>
              <w:rPr>
                <w:b/>
                <w:sz w:val="21"/>
                <w:szCs w:val="21"/>
              </w:rPr>
            </w:pPr>
            <w:bookmarkStart w:id="1" w:name="_Hlk51147038"/>
            <w:r>
              <w:rPr>
                <w:b/>
                <w:sz w:val="21"/>
                <w:szCs w:val="21"/>
              </w:rPr>
              <w:t>2019/2020 WDES action plan</w:t>
            </w:r>
          </w:p>
        </w:tc>
      </w:tr>
      <w:tr w:rsidR="00F72155" w:rsidRPr="00574BB8" w:rsidTr="00715A5C">
        <w:tc>
          <w:tcPr>
            <w:tcW w:w="426" w:type="dxa"/>
            <w:shd w:val="clear" w:color="auto" w:fill="79FFFC"/>
          </w:tcPr>
          <w:p w:rsidR="00F72155" w:rsidRPr="00574BB8" w:rsidRDefault="00F72155" w:rsidP="00715A5C">
            <w:pPr>
              <w:rPr>
                <w:b/>
                <w:sz w:val="21"/>
                <w:szCs w:val="21"/>
              </w:rPr>
            </w:pPr>
          </w:p>
        </w:tc>
        <w:tc>
          <w:tcPr>
            <w:tcW w:w="2126" w:type="dxa"/>
            <w:shd w:val="clear" w:color="auto" w:fill="79FFFC"/>
          </w:tcPr>
          <w:p w:rsidR="00F72155" w:rsidRPr="00574BB8" w:rsidRDefault="00F72155" w:rsidP="00715A5C">
            <w:pPr>
              <w:rPr>
                <w:b/>
                <w:sz w:val="21"/>
                <w:szCs w:val="21"/>
              </w:rPr>
            </w:pPr>
            <w:r w:rsidRPr="00574BB8">
              <w:rPr>
                <w:b/>
                <w:sz w:val="21"/>
                <w:szCs w:val="21"/>
              </w:rPr>
              <w:t>Outcome required</w:t>
            </w:r>
          </w:p>
        </w:tc>
        <w:tc>
          <w:tcPr>
            <w:tcW w:w="3685" w:type="dxa"/>
            <w:shd w:val="clear" w:color="auto" w:fill="79FFFC"/>
          </w:tcPr>
          <w:p w:rsidR="00F72155" w:rsidRPr="00574BB8" w:rsidRDefault="00F72155" w:rsidP="00715A5C">
            <w:pPr>
              <w:rPr>
                <w:b/>
                <w:sz w:val="21"/>
                <w:szCs w:val="21"/>
              </w:rPr>
            </w:pPr>
            <w:r w:rsidRPr="00574BB8">
              <w:rPr>
                <w:b/>
                <w:sz w:val="21"/>
                <w:szCs w:val="21"/>
              </w:rPr>
              <w:t>Action</w:t>
            </w:r>
          </w:p>
        </w:tc>
        <w:tc>
          <w:tcPr>
            <w:tcW w:w="1843" w:type="dxa"/>
            <w:shd w:val="clear" w:color="auto" w:fill="79FFFC"/>
          </w:tcPr>
          <w:p w:rsidR="00F72155" w:rsidRPr="00574BB8" w:rsidRDefault="00F72155" w:rsidP="00715A5C">
            <w:pPr>
              <w:rPr>
                <w:b/>
                <w:sz w:val="21"/>
                <w:szCs w:val="21"/>
              </w:rPr>
            </w:pPr>
            <w:r w:rsidRPr="00574BB8">
              <w:rPr>
                <w:b/>
                <w:sz w:val="21"/>
                <w:szCs w:val="21"/>
              </w:rPr>
              <w:t>Responsibility</w:t>
            </w:r>
          </w:p>
        </w:tc>
        <w:tc>
          <w:tcPr>
            <w:tcW w:w="1325" w:type="dxa"/>
            <w:shd w:val="clear" w:color="auto" w:fill="79FFFC"/>
          </w:tcPr>
          <w:p w:rsidR="00F72155" w:rsidRPr="00574BB8" w:rsidRDefault="00F72155" w:rsidP="00715A5C">
            <w:pPr>
              <w:rPr>
                <w:b/>
                <w:sz w:val="21"/>
                <w:szCs w:val="21"/>
              </w:rPr>
            </w:pPr>
            <w:r w:rsidRPr="00574BB8">
              <w:rPr>
                <w:b/>
                <w:sz w:val="21"/>
                <w:szCs w:val="21"/>
              </w:rPr>
              <w:t>Timescale</w:t>
            </w:r>
          </w:p>
        </w:tc>
      </w:tr>
      <w:tr w:rsidR="00F72155" w:rsidRPr="00574BB8" w:rsidTr="00715A5C">
        <w:tc>
          <w:tcPr>
            <w:tcW w:w="426" w:type="dxa"/>
          </w:tcPr>
          <w:p w:rsidR="00F72155" w:rsidRPr="004C4D3E" w:rsidRDefault="00F72155" w:rsidP="00715A5C">
            <w:pPr>
              <w:spacing w:before="60" w:after="60"/>
              <w:rPr>
                <w:sz w:val="20"/>
                <w:szCs w:val="20"/>
              </w:rPr>
            </w:pPr>
            <w:r w:rsidRPr="004C4D3E">
              <w:rPr>
                <w:sz w:val="20"/>
                <w:szCs w:val="20"/>
              </w:rPr>
              <w:t>1</w:t>
            </w:r>
          </w:p>
        </w:tc>
        <w:tc>
          <w:tcPr>
            <w:tcW w:w="2126" w:type="dxa"/>
          </w:tcPr>
          <w:p w:rsidR="00F72155" w:rsidRPr="004C4D3E" w:rsidRDefault="00F72155" w:rsidP="00715A5C">
            <w:pPr>
              <w:spacing w:before="60" w:after="60"/>
              <w:rPr>
                <w:sz w:val="20"/>
                <w:szCs w:val="20"/>
              </w:rPr>
            </w:pPr>
            <w:r w:rsidRPr="004C4D3E">
              <w:rPr>
                <w:sz w:val="20"/>
                <w:szCs w:val="20"/>
              </w:rPr>
              <w:t>Increased reporting to Board on equality metrics and progress</w:t>
            </w:r>
          </w:p>
        </w:tc>
        <w:tc>
          <w:tcPr>
            <w:tcW w:w="3685" w:type="dxa"/>
          </w:tcPr>
          <w:p w:rsidR="00F72155" w:rsidRDefault="00F72155" w:rsidP="00715A5C">
            <w:pPr>
              <w:spacing w:before="60" w:after="60"/>
              <w:rPr>
                <w:sz w:val="20"/>
                <w:szCs w:val="20"/>
              </w:rPr>
            </w:pPr>
            <w:r w:rsidRPr="004C4D3E">
              <w:rPr>
                <w:sz w:val="20"/>
                <w:szCs w:val="20"/>
              </w:rPr>
              <w:t xml:space="preserve">Six monthly report to Board </w:t>
            </w:r>
          </w:p>
          <w:p w:rsidR="00565156" w:rsidRDefault="00565156" w:rsidP="00715A5C">
            <w:pPr>
              <w:spacing w:before="60" w:after="60"/>
              <w:rPr>
                <w:sz w:val="20"/>
                <w:szCs w:val="20"/>
              </w:rPr>
            </w:pPr>
          </w:p>
          <w:p w:rsidR="00DB6A21" w:rsidRPr="00AB23D3" w:rsidRDefault="00DB6A21" w:rsidP="00715A5C">
            <w:pPr>
              <w:spacing w:before="60" w:after="60"/>
              <w:rPr>
                <w:b/>
                <w:bCs/>
                <w:sz w:val="20"/>
                <w:szCs w:val="20"/>
              </w:rPr>
            </w:pPr>
            <w:r w:rsidRPr="00AB23D3">
              <w:rPr>
                <w:b/>
                <w:bCs/>
                <w:sz w:val="20"/>
                <w:szCs w:val="20"/>
              </w:rPr>
              <w:t>Status:</w:t>
            </w:r>
            <w:r w:rsidR="00AB23D3">
              <w:rPr>
                <w:b/>
                <w:bCs/>
                <w:sz w:val="20"/>
                <w:szCs w:val="20"/>
              </w:rPr>
              <w:t xml:space="preserve"> Partially completed</w:t>
            </w:r>
          </w:p>
        </w:tc>
        <w:tc>
          <w:tcPr>
            <w:tcW w:w="1843" w:type="dxa"/>
          </w:tcPr>
          <w:p w:rsidR="00F72155" w:rsidRPr="004C4D3E" w:rsidRDefault="00F72155" w:rsidP="00715A5C">
            <w:pPr>
              <w:spacing w:before="60" w:after="60"/>
              <w:rPr>
                <w:sz w:val="20"/>
                <w:szCs w:val="20"/>
              </w:rPr>
            </w:pPr>
            <w:r w:rsidRPr="004C4D3E">
              <w:rPr>
                <w:sz w:val="20"/>
                <w:szCs w:val="20"/>
              </w:rPr>
              <w:t>Director of Workforce</w:t>
            </w:r>
          </w:p>
        </w:tc>
        <w:tc>
          <w:tcPr>
            <w:tcW w:w="1325" w:type="dxa"/>
          </w:tcPr>
          <w:p w:rsidR="00F72155" w:rsidRPr="004C4D3E" w:rsidRDefault="00F72155" w:rsidP="00715A5C">
            <w:pPr>
              <w:spacing w:before="60" w:after="60"/>
              <w:rPr>
                <w:sz w:val="20"/>
                <w:szCs w:val="20"/>
              </w:rPr>
            </w:pPr>
            <w:r w:rsidRPr="004C4D3E">
              <w:rPr>
                <w:sz w:val="20"/>
                <w:szCs w:val="20"/>
              </w:rPr>
              <w:t xml:space="preserve">July 2019 </w:t>
            </w:r>
          </w:p>
          <w:p w:rsidR="00F72155" w:rsidRPr="004C4D3E" w:rsidRDefault="00F72155" w:rsidP="00715A5C">
            <w:pPr>
              <w:spacing w:before="60" w:after="60"/>
              <w:rPr>
                <w:sz w:val="20"/>
                <w:szCs w:val="20"/>
              </w:rPr>
            </w:pPr>
          </w:p>
        </w:tc>
      </w:tr>
      <w:tr w:rsidR="00F72155" w:rsidRPr="00574BB8" w:rsidTr="00715A5C">
        <w:tc>
          <w:tcPr>
            <w:tcW w:w="426" w:type="dxa"/>
          </w:tcPr>
          <w:p w:rsidR="00F72155" w:rsidRPr="004C4D3E" w:rsidRDefault="00F72155" w:rsidP="00715A5C">
            <w:pPr>
              <w:rPr>
                <w:sz w:val="20"/>
                <w:szCs w:val="20"/>
              </w:rPr>
            </w:pPr>
            <w:r w:rsidRPr="004C4D3E">
              <w:rPr>
                <w:sz w:val="20"/>
                <w:szCs w:val="20"/>
              </w:rPr>
              <w:t>2</w:t>
            </w:r>
          </w:p>
          <w:p w:rsidR="00F72155" w:rsidRPr="004C4D3E" w:rsidRDefault="00F72155" w:rsidP="00715A5C">
            <w:pPr>
              <w:rPr>
                <w:sz w:val="20"/>
                <w:szCs w:val="20"/>
              </w:rPr>
            </w:pPr>
          </w:p>
        </w:tc>
        <w:tc>
          <w:tcPr>
            <w:tcW w:w="2126" w:type="dxa"/>
          </w:tcPr>
          <w:p w:rsidR="00F72155" w:rsidRPr="004C4D3E" w:rsidRDefault="00F72155" w:rsidP="00715A5C">
            <w:pPr>
              <w:rPr>
                <w:sz w:val="20"/>
                <w:szCs w:val="20"/>
              </w:rPr>
            </w:pPr>
            <w:r w:rsidRPr="004C4D3E">
              <w:rPr>
                <w:sz w:val="20"/>
                <w:szCs w:val="20"/>
              </w:rPr>
              <w:t>Conversations about disability and inclusion are held across the organisation</w:t>
            </w:r>
          </w:p>
        </w:tc>
        <w:tc>
          <w:tcPr>
            <w:tcW w:w="3685" w:type="dxa"/>
          </w:tcPr>
          <w:p w:rsidR="00F72155" w:rsidRDefault="00F72155" w:rsidP="00715A5C">
            <w:pPr>
              <w:rPr>
                <w:sz w:val="20"/>
                <w:szCs w:val="20"/>
              </w:rPr>
            </w:pPr>
            <w:r w:rsidRPr="004C4D3E">
              <w:rPr>
                <w:sz w:val="20"/>
                <w:szCs w:val="20"/>
              </w:rPr>
              <w:t>Schwartz rounds on diversity and inclusion topic as part of the annual series of Schwartz rounds with members of the disabilities network as contributing panel members</w:t>
            </w:r>
          </w:p>
          <w:p w:rsidR="00DB6A21" w:rsidRPr="00AB23D3" w:rsidRDefault="00DB6A21" w:rsidP="00715A5C">
            <w:pPr>
              <w:rPr>
                <w:b/>
                <w:bCs/>
                <w:sz w:val="20"/>
                <w:szCs w:val="20"/>
              </w:rPr>
            </w:pPr>
            <w:r w:rsidRPr="00AB23D3">
              <w:rPr>
                <w:b/>
                <w:bCs/>
                <w:sz w:val="20"/>
                <w:szCs w:val="20"/>
              </w:rPr>
              <w:t>Status:</w:t>
            </w:r>
            <w:r w:rsidR="00AB23D3">
              <w:rPr>
                <w:b/>
                <w:bCs/>
                <w:sz w:val="20"/>
                <w:szCs w:val="20"/>
              </w:rPr>
              <w:t xml:space="preserve"> Outstanding</w:t>
            </w:r>
          </w:p>
        </w:tc>
        <w:tc>
          <w:tcPr>
            <w:tcW w:w="1843" w:type="dxa"/>
          </w:tcPr>
          <w:p w:rsidR="00F72155" w:rsidRPr="004C4D3E" w:rsidRDefault="00F72155" w:rsidP="00715A5C">
            <w:pPr>
              <w:rPr>
                <w:sz w:val="20"/>
                <w:szCs w:val="20"/>
              </w:rPr>
            </w:pPr>
            <w:r w:rsidRPr="004C4D3E">
              <w:rPr>
                <w:sz w:val="20"/>
                <w:szCs w:val="20"/>
              </w:rPr>
              <w:t>Head of EDI/ Divisional Director Cancer Services</w:t>
            </w:r>
          </w:p>
        </w:tc>
        <w:tc>
          <w:tcPr>
            <w:tcW w:w="1325" w:type="dxa"/>
          </w:tcPr>
          <w:p w:rsidR="00F72155" w:rsidRPr="004C4D3E" w:rsidRDefault="00F72155" w:rsidP="00715A5C">
            <w:pPr>
              <w:rPr>
                <w:sz w:val="20"/>
                <w:szCs w:val="20"/>
              </w:rPr>
            </w:pPr>
            <w:r w:rsidRPr="004C4D3E">
              <w:rPr>
                <w:sz w:val="20"/>
                <w:szCs w:val="20"/>
              </w:rPr>
              <w:t>February 2020</w:t>
            </w:r>
          </w:p>
        </w:tc>
      </w:tr>
      <w:tr w:rsidR="00F72155" w:rsidRPr="00574BB8" w:rsidTr="00715A5C">
        <w:tc>
          <w:tcPr>
            <w:tcW w:w="426" w:type="dxa"/>
          </w:tcPr>
          <w:p w:rsidR="00F72155" w:rsidRPr="004C4D3E" w:rsidRDefault="00F72155" w:rsidP="00715A5C">
            <w:pPr>
              <w:rPr>
                <w:sz w:val="20"/>
                <w:szCs w:val="20"/>
              </w:rPr>
            </w:pPr>
            <w:r w:rsidRPr="004C4D3E">
              <w:rPr>
                <w:sz w:val="20"/>
                <w:szCs w:val="20"/>
              </w:rPr>
              <w:t>3</w:t>
            </w:r>
          </w:p>
        </w:tc>
        <w:tc>
          <w:tcPr>
            <w:tcW w:w="2126" w:type="dxa"/>
          </w:tcPr>
          <w:p w:rsidR="00F72155" w:rsidRPr="004C4D3E" w:rsidRDefault="00F72155" w:rsidP="00715A5C">
            <w:pPr>
              <w:rPr>
                <w:sz w:val="20"/>
                <w:szCs w:val="20"/>
              </w:rPr>
            </w:pPr>
            <w:r w:rsidRPr="004C4D3E">
              <w:rPr>
                <w:sz w:val="20"/>
                <w:szCs w:val="20"/>
              </w:rPr>
              <w:t xml:space="preserve">Values are embedded into employment policy and practice </w:t>
            </w:r>
            <w:r w:rsidRPr="004C4D3E">
              <w:rPr>
                <w:sz w:val="20"/>
                <w:szCs w:val="20"/>
              </w:rPr>
              <w:lastRenderedPageBreak/>
              <w:t>and are widely known across the organisation with team level understanding</w:t>
            </w:r>
          </w:p>
        </w:tc>
        <w:tc>
          <w:tcPr>
            <w:tcW w:w="3685" w:type="dxa"/>
          </w:tcPr>
          <w:p w:rsidR="00F72155" w:rsidRPr="004C4D3E" w:rsidRDefault="00F72155" w:rsidP="00715A5C">
            <w:pPr>
              <w:rPr>
                <w:sz w:val="20"/>
                <w:szCs w:val="20"/>
              </w:rPr>
            </w:pPr>
            <w:r w:rsidRPr="004C4D3E">
              <w:rPr>
                <w:sz w:val="20"/>
                <w:szCs w:val="20"/>
              </w:rPr>
              <w:lastRenderedPageBreak/>
              <w:t>Launch values content as part of induction programme</w:t>
            </w:r>
          </w:p>
          <w:p w:rsidR="00F72155" w:rsidRPr="004C4D3E" w:rsidRDefault="00F72155" w:rsidP="00715A5C">
            <w:pPr>
              <w:rPr>
                <w:sz w:val="20"/>
                <w:szCs w:val="20"/>
              </w:rPr>
            </w:pPr>
            <w:r w:rsidRPr="004C4D3E">
              <w:rPr>
                <w:sz w:val="20"/>
                <w:szCs w:val="20"/>
              </w:rPr>
              <w:lastRenderedPageBreak/>
              <w:t>Team level discussions about impact of values for them</w:t>
            </w:r>
          </w:p>
          <w:p w:rsidR="00F72155" w:rsidRPr="004C4D3E" w:rsidRDefault="00F72155" w:rsidP="00715A5C">
            <w:pPr>
              <w:rPr>
                <w:sz w:val="20"/>
                <w:szCs w:val="20"/>
              </w:rPr>
            </w:pPr>
            <w:r w:rsidRPr="004C4D3E">
              <w:rPr>
                <w:sz w:val="20"/>
                <w:szCs w:val="20"/>
              </w:rPr>
              <w:t xml:space="preserve">Launch new appraisal and </w:t>
            </w:r>
            <w:r w:rsidR="00520F37" w:rsidRPr="004C4D3E">
              <w:rPr>
                <w:sz w:val="20"/>
                <w:szCs w:val="20"/>
              </w:rPr>
              <w:t>values-based</w:t>
            </w:r>
            <w:r w:rsidRPr="004C4D3E">
              <w:rPr>
                <w:sz w:val="20"/>
                <w:szCs w:val="20"/>
              </w:rPr>
              <w:t xml:space="preserve"> recruitment interview support for managers including </w:t>
            </w:r>
            <w:proofErr w:type="gramStart"/>
            <w:r w:rsidRPr="004C4D3E">
              <w:rPr>
                <w:sz w:val="20"/>
                <w:szCs w:val="20"/>
              </w:rPr>
              <w:t>values based</w:t>
            </w:r>
            <w:proofErr w:type="gramEnd"/>
            <w:r w:rsidRPr="004C4D3E">
              <w:rPr>
                <w:sz w:val="20"/>
                <w:szCs w:val="20"/>
              </w:rPr>
              <w:t xml:space="preserve"> interview questions</w:t>
            </w:r>
          </w:p>
          <w:p w:rsidR="00F72155" w:rsidRPr="00AB23D3" w:rsidRDefault="00AB23D3" w:rsidP="00715A5C">
            <w:pPr>
              <w:rPr>
                <w:b/>
                <w:bCs/>
                <w:sz w:val="20"/>
                <w:szCs w:val="20"/>
              </w:rPr>
            </w:pPr>
            <w:r w:rsidRPr="00E772C4">
              <w:rPr>
                <w:b/>
                <w:bCs/>
                <w:sz w:val="21"/>
                <w:szCs w:val="21"/>
              </w:rPr>
              <w:t xml:space="preserve">Status: </w:t>
            </w:r>
            <w:r>
              <w:rPr>
                <w:b/>
                <w:bCs/>
                <w:sz w:val="21"/>
                <w:szCs w:val="21"/>
              </w:rPr>
              <w:t>Partially completed (Values and appraisal work c</w:t>
            </w:r>
            <w:r w:rsidRPr="00E772C4">
              <w:rPr>
                <w:b/>
                <w:bCs/>
                <w:sz w:val="21"/>
                <w:szCs w:val="21"/>
              </w:rPr>
              <w:t>ompleted</w:t>
            </w:r>
            <w:r>
              <w:rPr>
                <w:b/>
                <w:bCs/>
                <w:sz w:val="21"/>
                <w:szCs w:val="21"/>
              </w:rPr>
              <w:t>; recruitment support for managers has been drafted)</w:t>
            </w:r>
          </w:p>
        </w:tc>
        <w:tc>
          <w:tcPr>
            <w:tcW w:w="1843" w:type="dxa"/>
          </w:tcPr>
          <w:p w:rsidR="00F72155" w:rsidRPr="004C4D3E" w:rsidRDefault="00F72155" w:rsidP="00715A5C">
            <w:pPr>
              <w:rPr>
                <w:sz w:val="20"/>
                <w:szCs w:val="20"/>
              </w:rPr>
            </w:pPr>
            <w:r w:rsidRPr="004C4D3E">
              <w:rPr>
                <w:sz w:val="20"/>
                <w:szCs w:val="20"/>
              </w:rPr>
              <w:lastRenderedPageBreak/>
              <w:t xml:space="preserve">Asst Director Workforce Development/ </w:t>
            </w:r>
            <w:r w:rsidRPr="004C4D3E">
              <w:rPr>
                <w:sz w:val="20"/>
                <w:szCs w:val="20"/>
              </w:rPr>
              <w:lastRenderedPageBreak/>
              <w:t>Deputy Director of HR</w:t>
            </w:r>
          </w:p>
        </w:tc>
        <w:tc>
          <w:tcPr>
            <w:tcW w:w="1325" w:type="dxa"/>
          </w:tcPr>
          <w:p w:rsidR="00F72155" w:rsidRPr="004C4D3E" w:rsidRDefault="00F72155" w:rsidP="00715A5C">
            <w:pPr>
              <w:rPr>
                <w:sz w:val="20"/>
                <w:szCs w:val="20"/>
              </w:rPr>
            </w:pPr>
            <w:r w:rsidRPr="004C4D3E">
              <w:rPr>
                <w:sz w:val="20"/>
                <w:szCs w:val="20"/>
              </w:rPr>
              <w:lastRenderedPageBreak/>
              <w:t>From June 2019</w:t>
            </w:r>
          </w:p>
        </w:tc>
      </w:tr>
      <w:tr w:rsidR="00F72155" w:rsidRPr="00574BB8" w:rsidTr="00715A5C">
        <w:tc>
          <w:tcPr>
            <w:tcW w:w="426" w:type="dxa"/>
          </w:tcPr>
          <w:p w:rsidR="00F72155" w:rsidRPr="004C4D3E" w:rsidRDefault="00F72155" w:rsidP="00715A5C">
            <w:pPr>
              <w:rPr>
                <w:sz w:val="20"/>
                <w:szCs w:val="20"/>
              </w:rPr>
            </w:pPr>
            <w:r w:rsidRPr="004C4D3E">
              <w:rPr>
                <w:sz w:val="20"/>
                <w:szCs w:val="20"/>
              </w:rPr>
              <w:t>4</w:t>
            </w:r>
          </w:p>
        </w:tc>
        <w:tc>
          <w:tcPr>
            <w:tcW w:w="2126" w:type="dxa"/>
          </w:tcPr>
          <w:p w:rsidR="00F72155" w:rsidRPr="004C4D3E" w:rsidRDefault="00F72155" w:rsidP="00715A5C">
            <w:pPr>
              <w:rPr>
                <w:sz w:val="20"/>
                <w:szCs w:val="20"/>
              </w:rPr>
            </w:pPr>
            <w:r w:rsidRPr="004C4D3E">
              <w:rPr>
                <w:sz w:val="20"/>
                <w:szCs w:val="20"/>
              </w:rPr>
              <w:t>Recruitment panel members are diverse and have undertaken equality and diversity training</w:t>
            </w:r>
          </w:p>
        </w:tc>
        <w:tc>
          <w:tcPr>
            <w:tcW w:w="3685" w:type="dxa"/>
          </w:tcPr>
          <w:p w:rsidR="00F72155" w:rsidRDefault="00F72155" w:rsidP="00715A5C">
            <w:pPr>
              <w:rPr>
                <w:sz w:val="20"/>
                <w:szCs w:val="20"/>
              </w:rPr>
            </w:pPr>
            <w:r w:rsidRPr="004C4D3E">
              <w:rPr>
                <w:sz w:val="20"/>
                <w:szCs w:val="20"/>
              </w:rPr>
              <w:t xml:space="preserve">Quarterly monitoring of panel member training compliance and </w:t>
            </w:r>
            <w:r w:rsidR="00AB23D3">
              <w:rPr>
                <w:sz w:val="20"/>
                <w:szCs w:val="20"/>
              </w:rPr>
              <w:t xml:space="preserve">disability </w:t>
            </w:r>
            <w:r w:rsidRPr="004C4D3E">
              <w:rPr>
                <w:sz w:val="20"/>
                <w:szCs w:val="20"/>
              </w:rPr>
              <w:t>composition with candidate outcomes (for Band 8a and above vacancies)</w:t>
            </w:r>
          </w:p>
          <w:p w:rsidR="00DB6A21" w:rsidRPr="00AB23D3" w:rsidRDefault="00DB6A21" w:rsidP="00715A5C">
            <w:pPr>
              <w:rPr>
                <w:b/>
                <w:bCs/>
                <w:sz w:val="20"/>
                <w:szCs w:val="20"/>
              </w:rPr>
            </w:pPr>
            <w:r w:rsidRPr="00AB23D3">
              <w:rPr>
                <w:b/>
                <w:bCs/>
                <w:sz w:val="20"/>
                <w:szCs w:val="20"/>
              </w:rPr>
              <w:t>Status:</w:t>
            </w:r>
            <w:r w:rsidR="00AB23D3" w:rsidRPr="00AB23D3">
              <w:rPr>
                <w:b/>
                <w:bCs/>
                <w:sz w:val="20"/>
                <w:szCs w:val="20"/>
              </w:rPr>
              <w:t xml:space="preserve"> Outstanding </w:t>
            </w:r>
          </w:p>
        </w:tc>
        <w:tc>
          <w:tcPr>
            <w:tcW w:w="1843" w:type="dxa"/>
          </w:tcPr>
          <w:p w:rsidR="00F72155" w:rsidRPr="004C4D3E" w:rsidRDefault="00F72155" w:rsidP="00715A5C">
            <w:pPr>
              <w:rPr>
                <w:sz w:val="20"/>
                <w:szCs w:val="20"/>
              </w:rPr>
            </w:pPr>
            <w:r w:rsidRPr="004C4D3E">
              <w:rPr>
                <w:sz w:val="20"/>
                <w:szCs w:val="20"/>
              </w:rPr>
              <w:t>Head of Resourcing/ Head of EDI</w:t>
            </w:r>
          </w:p>
        </w:tc>
        <w:tc>
          <w:tcPr>
            <w:tcW w:w="1325" w:type="dxa"/>
          </w:tcPr>
          <w:p w:rsidR="00F72155" w:rsidRPr="004C4D3E" w:rsidRDefault="00F72155" w:rsidP="00715A5C">
            <w:pPr>
              <w:rPr>
                <w:sz w:val="20"/>
                <w:szCs w:val="20"/>
              </w:rPr>
            </w:pPr>
            <w:r w:rsidRPr="004C4D3E">
              <w:rPr>
                <w:sz w:val="20"/>
                <w:szCs w:val="20"/>
              </w:rPr>
              <w:t>From September 2019</w:t>
            </w:r>
          </w:p>
        </w:tc>
      </w:tr>
      <w:tr w:rsidR="00F72155" w:rsidRPr="00574BB8" w:rsidTr="00715A5C">
        <w:tc>
          <w:tcPr>
            <w:tcW w:w="426" w:type="dxa"/>
          </w:tcPr>
          <w:p w:rsidR="00F72155" w:rsidRPr="004C4D3E" w:rsidRDefault="00F72155" w:rsidP="00715A5C">
            <w:pPr>
              <w:rPr>
                <w:sz w:val="20"/>
                <w:szCs w:val="20"/>
              </w:rPr>
            </w:pPr>
            <w:r w:rsidRPr="004C4D3E">
              <w:rPr>
                <w:sz w:val="20"/>
                <w:szCs w:val="20"/>
              </w:rPr>
              <w:t>5</w:t>
            </w:r>
          </w:p>
        </w:tc>
        <w:tc>
          <w:tcPr>
            <w:tcW w:w="2126" w:type="dxa"/>
          </w:tcPr>
          <w:p w:rsidR="00F72155" w:rsidRPr="004C4D3E" w:rsidRDefault="00F72155" w:rsidP="00715A5C">
            <w:pPr>
              <w:rPr>
                <w:sz w:val="20"/>
                <w:szCs w:val="20"/>
              </w:rPr>
            </w:pPr>
            <w:r w:rsidRPr="004C4D3E">
              <w:rPr>
                <w:sz w:val="20"/>
                <w:szCs w:val="20"/>
              </w:rPr>
              <w:t>Inclusive leadership to be integral part of all leadership development programmes</w:t>
            </w:r>
          </w:p>
        </w:tc>
        <w:tc>
          <w:tcPr>
            <w:tcW w:w="3685" w:type="dxa"/>
          </w:tcPr>
          <w:p w:rsidR="00F72155" w:rsidRDefault="00F72155" w:rsidP="00715A5C">
            <w:pPr>
              <w:rPr>
                <w:sz w:val="20"/>
                <w:szCs w:val="20"/>
              </w:rPr>
            </w:pPr>
            <w:r w:rsidRPr="004C4D3E">
              <w:rPr>
                <w:sz w:val="20"/>
                <w:szCs w:val="20"/>
              </w:rPr>
              <w:t>New programmes that are being procured require inclusive leadership to be a key component.</w:t>
            </w:r>
          </w:p>
          <w:p w:rsidR="00DB6A21" w:rsidRPr="00AB23D3" w:rsidRDefault="00DB6A21" w:rsidP="00715A5C">
            <w:pPr>
              <w:rPr>
                <w:b/>
                <w:bCs/>
                <w:sz w:val="20"/>
                <w:szCs w:val="20"/>
              </w:rPr>
            </w:pPr>
            <w:r w:rsidRPr="00AB23D3">
              <w:rPr>
                <w:b/>
                <w:bCs/>
                <w:sz w:val="20"/>
                <w:szCs w:val="20"/>
              </w:rPr>
              <w:t>Status:</w:t>
            </w:r>
            <w:r w:rsidR="00AB23D3" w:rsidRPr="00AB23D3">
              <w:rPr>
                <w:b/>
                <w:bCs/>
                <w:sz w:val="20"/>
                <w:szCs w:val="20"/>
              </w:rPr>
              <w:t xml:space="preserve"> On-going </w:t>
            </w:r>
          </w:p>
        </w:tc>
        <w:tc>
          <w:tcPr>
            <w:tcW w:w="1843" w:type="dxa"/>
          </w:tcPr>
          <w:p w:rsidR="00F72155" w:rsidRPr="004C4D3E" w:rsidRDefault="00F72155" w:rsidP="00715A5C">
            <w:pPr>
              <w:rPr>
                <w:sz w:val="20"/>
                <w:szCs w:val="20"/>
              </w:rPr>
            </w:pPr>
            <w:r w:rsidRPr="004C4D3E">
              <w:rPr>
                <w:sz w:val="20"/>
                <w:szCs w:val="20"/>
              </w:rPr>
              <w:t>Asst Director Workforce Development</w:t>
            </w:r>
          </w:p>
        </w:tc>
        <w:tc>
          <w:tcPr>
            <w:tcW w:w="1325" w:type="dxa"/>
          </w:tcPr>
          <w:p w:rsidR="00F72155" w:rsidRPr="004C4D3E" w:rsidRDefault="00F72155" w:rsidP="00715A5C">
            <w:pPr>
              <w:rPr>
                <w:sz w:val="20"/>
                <w:szCs w:val="20"/>
              </w:rPr>
            </w:pPr>
            <w:r w:rsidRPr="004C4D3E">
              <w:rPr>
                <w:sz w:val="20"/>
                <w:szCs w:val="20"/>
              </w:rPr>
              <w:t>From June 2019</w:t>
            </w:r>
          </w:p>
        </w:tc>
      </w:tr>
      <w:tr w:rsidR="00F72155" w:rsidRPr="00574BB8" w:rsidTr="00715A5C">
        <w:tc>
          <w:tcPr>
            <w:tcW w:w="426" w:type="dxa"/>
          </w:tcPr>
          <w:p w:rsidR="00F72155" w:rsidRPr="004C4D3E" w:rsidRDefault="00F72155" w:rsidP="00715A5C">
            <w:pPr>
              <w:rPr>
                <w:sz w:val="20"/>
                <w:szCs w:val="20"/>
              </w:rPr>
            </w:pPr>
            <w:r w:rsidRPr="004C4D3E">
              <w:rPr>
                <w:sz w:val="20"/>
                <w:szCs w:val="20"/>
              </w:rPr>
              <w:t>6</w:t>
            </w:r>
          </w:p>
        </w:tc>
        <w:tc>
          <w:tcPr>
            <w:tcW w:w="2126" w:type="dxa"/>
          </w:tcPr>
          <w:p w:rsidR="00F72155" w:rsidRPr="004C4D3E" w:rsidRDefault="00F72155" w:rsidP="00715A5C">
            <w:pPr>
              <w:rPr>
                <w:sz w:val="20"/>
                <w:szCs w:val="20"/>
              </w:rPr>
            </w:pPr>
            <w:r w:rsidRPr="004C4D3E">
              <w:rPr>
                <w:sz w:val="20"/>
                <w:szCs w:val="20"/>
              </w:rPr>
              <w:t>Joint network for staff with disabilities and health conditions to become a self-led network with Director Sponsorship</w:t>
            </w:r>
          </w:p>
        </w:tc>
        <w:tc>
          <w:tcPr>
            <w:tcW w:w="3685" w:type="dxa"/>
          </w:tcPr>
          <w:p w:rsidR="00F72155" w:rsidRPr="004C4D3E" w:rsidRDefault="00F72155" w:rsidP="00715A5C">
            <w:pPr>
              <w:rPr>
                <w:sz w:val="20"/>
                <w:szCs w:val="20"/>
              </w:rPr>
            </w:pPr>
            <w:r w:rsidRPr="004C4D3E">
              <w:rPr>
                <w:sz w:val="20"/>
                <w:szCs w:val="20"/>
              </w:rPr>
              <w:t>Divisional Director to attend network meetings and to raise issues as appropriate with the Executive Board</w:t>
            </w:r>
          </w:p>
          <w:p w:rsidR="00AB23D3" w:rsidRDefault="00F72155" w:rsidP="00715A5C">
            <w:pPr>
              <w:rPr>
                <w:sz w:val="20"/>
                <w:szCs w:val="20"/>
              </w:rPr>
            </w:pPr>
            <w:r w:rsidRPr="004C4D3E">
              <w:rPr>
                <w:sz w:val="20"/>
                <w:szCs w:val="20"/>
              </w:rPr>
              <w:t>Network members to take on chair and other committee roles by January 2019</w:t>
            </w:r>
          </w:p>
          <w:p w:rsidR="00AB23D3" w:rsidRPr="00AB23D3" w:rsidRDefault="00AB23D3" w:rsidP="00715A5C">
            <w:pPr>
              <w:rPr>
                <w:b/>
                <w:bCs/>
                <w:sz w:val="20"/>
                <w:szCs w:val="20"/>
              </w:rPr>
            </w:pPr>
            <w:r w:rsidRPr="00AB23D3">
              <w:rPr>
                <w:b/>
                <w:bCs/>
                <w:sz w:val="20"/>
                <w:szCs w:val="20"/>
              </w:rPr>
              <w:t xml:space="preserve">Status: Completed </w:t>
            </w:r>
          </w:p>
        </w:tc>
        <w:tc>
          <w:tcPr>
            <w:tcW w:w="1843" w:type="dxa"/>
          </w:tcPr>
          <w:p w:rsidR="00F72155" w:rsidRPr="004C4D3E" w:rsidRDefault="00F72155" w:rsidP="00715A5C">
            <w:pPr>
              <w:rPr>
                <w:sz w:val="20"/>
                <w:szCs w:val="20"/>
              </w:rPr>
            </w:pPr>
            <w:r w:rsidRPr="004C4D3E">
              <w:rPr>
                <w:sz w:val="20"/>
                <w:szCs w:val="20"/>
              </w:rPr>
              <w:t>Head of EDI/ Divisional Director Cancer Services</w:t>
            </w:r>
          </w:p>
        </w:tc>
        <w:tc>
          <w:tcPr>
            <w:tcW w:w="1325" w:type="dxa"/>
          </w:tcPr>
          <w:p w:rsidR="00F72155" w:rsidRPr="004C4D3E" w:rsidRDefault="00F72155" w:rsidP="00715A5C">
            <w:pPr>
              <w:rPr>
                <w:sz w:val="20"/>
                <w:szCs w:val="20"/>
              </w:rPr>
            </w:pPr>
            <w:r w:rsidRPr="004C4D3E">
              <w:rPr>
                <w:sz w:val="20"/>
                <w:szCs w:val="20"/>
              </w:rPr>
              <w:t>November 2019</w:t>
            </w:r>
          </w:p>
        </w:tc>
      </w:tr>
      <w:tr w:rsidR="00F72155" w:rsidRPr="00574BB8" w:rsidTr="00715A5C">
        <w:tc>
          <w:tcPr>
            <w:tcW w:w="426" w:type="dxa"/>
          </w:tcPr>
          <w:p w:rsidR="00F72155" w:rsidRPr="004C4D3E" w:rsidRDefault="00F72155" w:rsidP="00715A5C">
            <w:pPr>
              <w:rPr>
                <w:sz w:val="20"/>
                <w:szCs w:val="20"/>
              </w:rPr>
            </w:pPr>
            <w:r w:rsidRPr="004C4D3E">
              <w:rPr>
                <w:sz w:val="20"/>
                <w:szCs w:val="20"/>
              </w:rPr>
              <w:t>7</w:t>
            </w:r>
          </w:p>
        </w:tc>
        <w:tc>
          <w:tcPr>
            <w:tcW w:w="2126" w:type="dxa"/>
          </w:tcPr>
          <w:p w:rsidR="00F72155" w:rsidRPr="004C4D3E" w:rsidRDefault="00F72155" w:rsidP="00715A5C">
            <w:pPr>
              <w:rPr>
                <w:sz w:val="20"/>
                <w:szCs w:val="20"/>
              </w:rPr>
            </w:pPr>
            <w:r w:rsidRPr="004C4D3E">
              <w:rPr>
                <w:sz w:val="20"/>
                <w:szCs w:val="20"/>
              </w:rPr>
              <w:t xml:space="preserve">2019 WDES findings </w:t>
            </w:r>
          </w:p>
        </w:tc>
        <w:tc>
          <w:tcPr>
            <w:tcW w:w="3685" w:type="dxa"/>
          </w:tcPr>
          <w:p w:rsidR="00F72155" w:rsidRDefault="00F72155" w:rsidP="00715A5C">
            <w:pPr>
              <w:rPr>
                <w:sz w:val="20"/>
                <w:szCs w:val="20"/>
              </w:rPr>
            </w:pPr>
            <w:r w:rsidRPr="004C4D3E">
              <w:rPr>
                <w:sz w:val="20"/>
                <w:szCs w:val="20"/>
              </w:rPr>
              <w:t>Findings and actions to be discussed with disabilities network</w:t>
            </w:r>
            <w:r w:rsidR="00AB23D3">
              <w:rPr>
                <w:sz w:val="20"/>
                <w:szCs w:val="20"/>
              </w:rPr>
              <w:t>.</w:t>
            </w:r>
          </w:p>
          <w:p w:rsidR="00AB23D3" w:rsidRPr="00AB23D3" w:rsidRDefault="00AB23D3" w:rsidP="00715A5C">
            <w:pPr>
              <w:rPr>
                <w:b/>
                <w:bCs/>
                <w:sz w:val="20"/>
                <w:szCs w:val="20"/>
              </w:rPr>
            </w:pPr>
            <w:r w:rsidRPr="00AB23D3">
              <w:rPr>
                <w:b/>
                <w:bCs/>
                <w:sz w:val="20"/>
                <w:szCs w:val="20"/>
              </w:rPr>
              <w:t>Status: Completed</w:t>
            </w:r>
          </w:p>
        </w:tc>
        <w:tc>
          <w:tcPr>
            <w:tcW w:w="1843" w:type="dxa"/>
          </w:tcPr>
          <w:p w:rsidR="00F72155" w:rsidRPr="004C4D3E" w:rsidRDefault="00F72155" w:rsidP="00715A5C">
            <w:pPr>
              <w:rPr>
                <w:sz w:val="20"/>
                <w:szCs w:val="20"/>
              </w:rPr>
            </w:pPr>
            <w:r w:rsidRPr="004C4D3E">
              <w:rPr>
                <w:sz w:val="20"/>
                <w:szCs w:val="20"/>
              </w:rPr>
              <w:t>Head of EDI</w:t>
            </w:r>
          </w:p>
        </w:tc>
        <w:tc>
          <w:tcPr>
            <w:tcW w:w="1325" w:type="dxa"/>
          </w:tcPr>
          <w:p w:rsidR="00F72155" w:rsidRPr="004C4D3E" w:rsidRDefault="00F72155" w:rsidP="00715A5C">
            <w:pPr>
              <w:rPr>
                <w:sz w:val="20"/>
                <w:szCs w:val="20"/>
              </w:rPr>
            </w:pPr>
            <w:r w:rsidRPr="004C4D3E">
              <w:rPr>
                <w:sz w:val="20"/>
                <w:szCs w:val="20"/>
              </w:rPr>
              <w:t>August 2019</w:t>
            </w:r>
          </w:p>
        </w:tc>
      </w:tr>
      <w:tr w:rsidR="00F72155" w:rsidRPr="00574BB8" w:rsidTr="00715A5C">
        <w:tc>
          <w:tcPr>
            <w:tcW w:w="426" w:type="dxa"/>
          </w:tcPr>
          <w:p w:rsidR="00F72155" w:rsidRPr="004C4D3E" w:rsidRDefault="00F72155" w:rsidP="00715A5C">
            <w:pPr>
              <w:rPr>
                <w:sz w:val="20"/>
                <w:szCs w:val="20"/>
              </w:rPr>
            </w:pPr>
            <w:r w:rsidRPr="004C4D3E">
              <w:rPr>
                <w:sz w:val="20"/>
                <w:szCs w:val="20"/>
              </w:rPr>
              <w:t>8</w:t>
            </w:r>
          </w:p>
        </w:tc>
        <w:tc>
          <w:tcPr>
            <w:tcW w:w="2126" w:type="dxa"/>
          </w:tcPr>
          <w:p w:rsidR="00F72155" w:rsidRPr="004C4D3E" w:rsidRDefault="00F72155" w:rsidP="00715A5C">
            <w:pPr>
              <w:rPr>
                <w:sz w:val="20"/>
                <w:szCs w:val="20"/>
              </w:rPr>
            </w:pPr>
            <w:r w:rsidRPr="004C4D3E">
              <w:rPr>
                <w:sz w:val="20"/>
                <w:szCs w:val="20"/>
              </w:rPr>
              <w:t xml:space="preserve">Increased awareness of mental health conditions and staff </w:t>
            </w:r>
            <w:r w:rsidR="00520F37" w:rsidRPr="004C4D3E">
              <w:rPr>
                <w:sz w:val="20"/>
                <w:szCs w:val="20"/>
              </w:rPr>
              <w:t>support across</w:t>
            </w:r>
            <w:r w:rsidRPr="004C4D3E">
              <w:rPr>
                <w:sz w:val="20"/>
                <w:szCs w:val="20"/>
              </w:rPr>
              <w:t xml:space="preserve"> the organisation</w:t>
            </w:r>
          </w:p>
        </w:tc>
        <w:tc>
          <w:tcPr>
            <w:tcW w:w="3685" w:type="dxa"/>
          </w:tcPr>
          <w:p w:rsidR="00F72155" w:rsidRPr="004C4D3E" w:rsidRDefault="00F72155" w:rsidP="00715A5C">
            <w:pPr>
              <w:rPr>
                <w:sz w:val="20"/>
                <w:szCs w:val="20"/>
              </w:rPr>
            </w:pPr>
            <w:r w:rsidRPr="004C4D3E">
              <w:rPr>
                <w:sz w:val="20"/>
                <w:szCs w:val="20"/>
              </w:rPr>
              <w:t>Run pilot Mental Health First Aid half day awareness sessions at Chelsea and Sutton with a view to rolling out further training across the organisation.</w:t>
            </w:r>
          </w:p>
          <w:p w:rsidR="00F72155" w:rsidRDefault="00F72155" w:rsidP="00715A5C">
            <w:pPr>
              <w:rPr>
                <w:sz w:val="20"/>
                <w:szCs w:val="20"/>
              </w:rPr>
            </w:pPr>
            <w:r w:rsidRPr="004C4D3E">
              <w:rPr>
                <w:sz w:val="20"/>
                <w:szCs w:val="20"/>
              </w:rPr>
              <w:t xml:space="preserve">Wellbeing sessions to be run for staff. </w:t>
            </w:r>
          </w:p>
          <w:p w:rsidR="00AB23D3" w:rsidRPr="00AB23D3" w:rsidRDefault="00AB23D3" w:rsidP="00715A5C">
            <w:pPr>
              <w:rPr>
                <w:b/>
                <w:bCs/>
                <w:sz w:val="20"/>
                <w:szCs w:val="20"/>
              </w:rPr>
            </w:pPr>
            <w:r w:rsidRPr="00AB23D3">
              <w:rPr>
                <w:b/>
                <w:bCs/>
                <w:sz w:val="20"/>
                <w:szCs w:val="20"/>
              </w:rPr>
              <w:t>Status: Completed</w:t>
            </w:r>
          </w:p>
        </w:tc>
        <w:tc>
          <w:tcPr>
            <w:tcW w:w="1843" w:type="dxa"/>
          </w:tcPr>
          <w:p w:rsidR="00F72155" w:rsidRPr="004C4D3E" w:rsidRDefault="00F72155" w:rsidP="00715A5C">
            <w:pPr>
              <w:rPr>
                <w:sz w:val="20"/>
                <w:szCs w:val="20"/>
              </w:rPr>
            </w:pPr>
            <w:r w:rsidRPr="004C4D3E">
              <w:rPr>
                <w:sz w:val="20"/>
                <w:szCs w:val="20"/>
              </w:rPr>
              <w:t>Deputy Director of HR</w:t>
            </w:r>
          </w:p>
        </w:tc>
        <w:tc>
          <w:tcPr>
            <w:tcW w:w="1325" w:type="dxa"/>
          </w:tcPr>
          <w:p w:rsidR="00F72155" w:rsidRPr="004C4D3E" w:rsidRDefault="00F72155" w:rsidP="00715A5C">
            <w:pPr>
              <w:rPr>
                <w:sz w:val="20"/>
                <w:szCs w:val="20"/>
              </w:rPr>
            </w:pPr>
            <w:r w:rsidRPr="004C4D3E">
              <w:rPr>
                <w:sz w:val="20"/>
                <w:szCs w:val="20"/>
              </w:rPr>
              <w:t>November 2019</w:t>
            </w:r>
          </w:p>
        </w:tc>
      </w:tr>
      <w:bookmarkEnd w:id="1"/>
    </w:tbl>
    <w:p w:rsidR="00F72155" w:rsidRPr="00F72155" w:rsidRDefault="00F72155" w:rsidP="00F72155"/>
    <w:p w:rsidR="007A03BC" w:rsidRDefault="007A03BC" w:rsidP="001C5989">
      <w:pPr>
        <w:pStyle w:val="Heading1"/>
      </w:pPr>
      <w:r w:rsidRPr="00E927F0">
        <w:t>National and local benchmarking</w:t>
      </w:r>
    </w:p>
    <w:p w:rsidR="00C42E1E" w:rsidRDefault="00C42E1E" w:rsidP="00574BB8">
      <w:pPr>
        <w:jc w:val="both"/>
      </w:pPr>
      <w:r>
        <w:t xml:space="preserve">The </w:t>
      </w:r>
      <w:r w:rsidR="00C422CD">
        <w:t>20</w:t>
      </w:r>
      <w:r w:rsidR="00FA71E5">
        <w:t>20</w:t>
      </w:r>
      <w:r w:rsidR="00C422CD">
        <w:t xml:space="preserve"> </w:t>
      </w:r>
      <w:r>
        <w:t>W</w:t>
      </w:r>
      <w:r w:rsidR="00A96DB6">
        <w:t>D</w:t>
      </w:r>
      <w:r>
        <w:t xml:space="preserve">ES findings </w:t>
      </w:r>
      <w:r w:rsidR="00A96DB6">
        <w:t xml:space="preserve">will be </w:t>
      </w:r>
      <w:r>
        <w:t>monitored nationally by the W</w:t>
      </w:r>
      <w:r w:rsidR="00A96DB6">
        <w:t>D</w:t>
      </w:r>
      <w:r>
        <w:t xml:space="preserve">ES Team, who </w:t>
      </w:r>
      <w:r w:rsidR="00A96DB6">
        <w:t xml:space="preserve">will analyse the national and regional data </w:t>
      </w:r>
      <w:r>
        <w:t xml:space="preserve">to highlight areas of </w:t>
      </w:r>
      <w:r w:rsidR="00A96DB6">
        <w:t xml:space="preserve">concern </w:t>
      </w:r>
      <w:r>
        <w:t xml:space="preserve">and </w:t>
      </w:r>
      <w:r w:rsidR="00A96DB6">
        <w:t xml:space="preserve">areas of </w:t>
      </w:r>
      <w:r>
        <w:t>good practice across the NHS.</w:t>
      </w:r>
      <w:r w:rsidR="009022E7">
        <w:t xml:space="preserve"> </w:t>
      </w:r>
      <w:r w:rsidR="009509E5">
        <w:t xml:space="preserve">It is anticipated that an annual benchmarking report will be provided to identify areas of good practice </w:t>
      </w:r>
      <w:r w:rsidR="00B94EA2">
        <w:t xml:space="preserve">across the NHS </w:t>
      </w:r>
      <w:r w:rsidR="009509E5">
        <w:t>and areas for national or regional attention.</w:t>
      </w:r>
    </w:p>
    <w:p w:rsidR="00777C98" w:rsidRDefault="007A03BC" w:rsidP="001C5989">
      <w:pPr>
        <w:pStyle w:val="Heading1"/>
      </w:pPr>
      <w:r>
        <w:lastRenderedPageBreak/>
        <w:t>W</w:t>
      </w:r>
      <w:r w:rsidR="00A96DB6">
        <w:t>D</w:t>
      </w:r>
      <w:r w:rsidR="001C5989">
        <w:t xml:space="preserve">ES </w:t>
      </w:r>
      <w:r w:rsidR="00777C98">
        <w:t xml:space="preserve">conclusions </w:t>
      </w:r>
    </w:p>
    <w:p w:rsidR="00F72155" w:rsidRDefault="006C736F" w:rsidP="00574BB8">
      <w:pPr>
        <w:jc w:val="both"/>
      </w:pPr>
      <w:r>
        <w:t xml:space="preserve">It is encouraging to see a greater number </w:t>
      </w:r>
      <w:r w:rsidR="00565156">
        <w:t xml:space="preserve">of staff </w:t>
      </w:r>
      <w:r>
        <w:t xml:space="preserve">confirming </w:t>
      </w:r>
      <w:r w:rsidR="00565156">
        <w:t>their manager has made reasonable adjustments</w:t>
      </w:r>
      <w:r>
        <w:t xml:space="preserve"> and fewer disabled staff</w:t>
      </w:r>
      <w:r w:rsidR="00565156">
        <w:t xml:space="preserve"> </w:t>
      </w:r>
      <w:r>
        <w:t xml:space="preserve">reporting bullying or harassment concerns from patients. However, </w:t>
      </w:r>
      <w:r w:rsidR="00F72155">
        <w:t xml:space="preserve">there </w:t>
      </w:r>
      <w:r w:rsidR="00520F37">
        <w:t>remain</w:t>
      </w:r>
      <w:r w:rsidR="00F72155">
        <w:t xml:space="preserve"> </w:t>
      </w:r>
      <w:proofErr w:type="gramStart"/>
      <w:r w:rsidR="00F72155">
        <w:t>a number of</w:t>
      </w:r>
      <w:proofErr w:type="gramEnd"/>
      <w:r w:rsidR="00F72155">
        <w:t xml:space="preserve"> metrics that require improvement. An increased emphasis on improving our W</w:t>
      </w:r>
      <w:r w:rsidR="00565156">
        <w:t xml:space="preserve">DES </w:t>
      </w:r>
      <w:r w:rsidR="00F72155">
        <w:t xml:space="preserve">scores for recruitment, </w:t>
      </w:r>
      <w:r w:rsidR="00565156">
        <w:t xml:space="preserve">capability, </w:t>
      </w:r>
      <w:r w:rsidR="00F72155">
        <w:t>career progression</w:t>
      </w:r>
      <w:r w:rsidR="00565156">
        <w:t xml:space="preserve"> and valuing our disabled staff</w:t>
      </w:r>
      <w:r w:rsidR="00F72155">
        <w:t xml:space="preserve"> will feature in our W</w:t>
      </w:r>
      <w:r w:rsidR="00565156">
        <w:t>D</w:t>
      </w:r>
      <w:r w:rsidR="00F72155">
        <w:t xml:space="preserve">ES action plan for 2020 – 2021 outlined in section 6 below. </w:t>
      </w:r>
    </w:p>
    <w:p w:rsidR="00BC13FA" w:rsidRDefault="00777C98" w:rsidP="00574BB8">
      <w:pPr>
        <w:pStyle w:val="Heading1"/>
      </w:pPr>
      <w:r>
        <w:t>W</w:t>
      </w:r>
      <w:r w:rsidR="00A96DB6">
        <w:t>D</w:t>
      </w:r>
      <w:r>
        <w:t xml:space="preserve">ES </w:t>
      </w:r>
      <w:r w:rsidR="001C5989">
        <w:t>action plan 20</w:t>
      </w:r>
      <w:r w:rsidR="00DB6A21">
        <w:t>20</w:t>
      </w:r>
      <w:r w:rsidR="001C5989">
        <w:t>-20</w:t>
      </w:r>
      <w:r w:rsidR="002C2E6B">
        <w:t>2</w:t>
      </w:r>
      <w:r w:rsidR="00DB6A21">
        <w:t>1</w:t>
      </w:r>
    </w:p>
    <w:p w:rsidR="00194A7A" w:rsidRDefault="00777C98" w:rsidP="00574BB8">
      <w:pPr>
        <w:pStyle w:val="Heading1"/>
        <w:numPr>
          <w:ilvl w:val="0"/>
          <w:numId w:val="0"/>
        </w:numPr>
        <w:spacing w:before="120" w:after="120"/>
        <w:jc w:val="both"/>
        <w:rPr>
          <w:bCs w:val="0"/>
          <w:iCs/>
          <w:color w:val="381E37"/>
          <w:sz w:val="22"/>
          <w:szCs w:val="28"/>
        </w:rPr>
      </w:pPr>
      <w:r w:rsidRPr="0056216D">
        <w:rPr>
          <w:bCs w:val="0"/>
          <w:iCs/>
          <w:color w:val="381E37"/>
          <w:sz w:val="22"/>
          <w:szCs w:val="28"/>
        </w:rPr>
        <w:t xml:space="preserve">The </w:t>
      </w:r>
      <w:r w:rsidRPr="00BC13FA">
        <w:rPr>
          <w:bCs w:val="0"/>
          <w:iCs/>
          <w:color w:val="381E37"/>
          <w:sz w:val="22"/>
          <w:szCs w:val="28"/>
        </w:rPr>
        <w:t xml:space="preserve">actions </w:t>
      </w:r>
      <w:r w:rsidR="00206356">
        <w:rPr>
          <w:bCs w:val="0"/>
          <w:iCs/>
          <w:color w:val="381E37"/>
          <w:sz w:val="22"/>
          <w:szCs w:val="28"/>
        </w:rPr>
        <w:t xml:space="preserve">set out below </w:t>
      </w:r>
      <w:r w:rsidRPr="00BC13FA">
        <w:rPr>
          <w:bCs w:val="0"/>
          <w:iCs/>
          <w:color w:val="381E37"/>
          <w:sz w:val="22"/>
          <w:szCs w:val="28"/>
        </w:rPr>
        <w:t>for 20</w:t>
      </w:r>
      <w:r w:rsidR="00DB6A21">
        <w:rPr>
          <w:bCs w:val="0"/>
          <w:iCs/>
          <w:color w:val="381E37"/>
          <w:sz w:val="22"/>
          <w:szCs w:val="28"/>
        </w:rPr>
        <w:t>20 - 2021</w:t>
      </w:r>
      <w:r w:rsidRPr="00BC13FA">
        <w:rPr>
          <w:bCs w:val="0"/>
          <w:iCs/>
          <w:color w:val="381E37"/>
          <w:sz w:val="22"/>
          <w:szCs w:val="28"/>
        </w:rPr>
        <w:t xml:space="preserve"> </w:t>
      </w:r>
      <w:r w:rsidR="00206356">
        <w:rPr>
          <w:bCs w:val="0"/>
          <w:iCs/>
          <w:color w:val="381E37"/>
          <w:sz w:val="22"/>
          <w:szCs w:val="28"/>
        </w:rPr>
        <w:t xml:space="preserve">aim </w:t>
      </w:r>
      <w:r w:rsidRPr="00BC13FA">
        <w:rPr>
          <w:bCs w:val="0"/>
          <w:iCs/>
          <w:color w:val="381E37"/>
          <w:sz w:val="22"/>
          <w:szCs w:val="28"/>
        </w:rPr>
        <w:t>to improve</w:t>
      </w:r>
      <w:r w:rsidRPr="00BC13FA">
        <w:t xml:space="preserve"> </w:t>
      </w:r>
      <w:r w:rsidRPr="00BC13FA">
        <w:rPr>
          <w:bCs w:val="0"/>
          <w:iCs/>
          <w:color w:val="381E37"/>
          <w:sz w:val="22"/>
          <w:szCs w:val="28"/>
        </w:rPr>
        <w:t xml:space="preserve">the experiences and outcomes </w:t>
      </w:r>
      <w:r w:rsidR="002E1572">
        <w:rPr>
          <w:bCs w:val="0"/>
          <w:iCs/>
          <w:color w:val="381E37"/>
          <w:sz w:val="22"/>
          <w:szCs w:val="28"/>
        </w:rPr>
        <w:t>of</w:t>
      </w:r>
      <w:r w:rsidRPr="00BC13FA">
        <w:rPr>
          <w:bCs w:val="0"/>
          <w:iCs/>
          <w:color w:val="381E37"/>
          <w:sz w:val="22"/>
          <w:szCs w:val="28"/>
        </w:rPr>
        <w:t xml:space="preserve"> </w:t>
      </w:r>
      <w:r w:rsidR="000D6D4E">
        <w:rPr>
          <w:bCs w:val="0"/>
          <w:iCs/>
          <w:color w:val="381E37"/>
          <w:sz w:val="22"/>
          <w:szCs w:val="28"/>
        </w:rPr>
        <w:t>disabled</w:t>
      </w:r>
      <w:r w:rsidRPr="00BC13FA">
        <w:rPr>
          <w:bCs w:val="0"/>
          <w:iCs/>
          <w:color w:val="381E37"/>
          <w:sz w:val="22"/>
          <w:szCs w:val="28"/>
        </w:rPr>
        <w:t xml:space="preserve"> staff with</w:t>
      </w:r>
      <w:r w:rsidR="00B15748">
        <w:rPr>
          <w:bCs w:val="0"/>
          <w:iCs/>
          <w:color w:val="381E37"/>
          <w:sz w:val="22"/>
          <w:szCs w:val="28"/>
        </w:rPr>
        <w:t>in</w:t>
      </w:r>
      <w:r w:rsidRPr="00BC13FA">
        <w:rPr>
          <w:bCs w:val="0"/>
          <w:iCs/>
          <w:color w:val="381E37"/>
          <w:sz w:val="22"/>
          <w:szCs w:val="28"/>
        </w:rPr>
        <w:t xml:space="preserve"> </w:t>
      </w:r>
      <w:r w:rsidR="00804E62">
        <w:rPr>
          <w:bCs w:val="0"/>
          <w:iCs/>
          <w:color w:val="381E37"/>
          <w:sz w:val="22"/>
          <w:szCs w:val="28"/>
        </w:rPr>
        <w:t>the Trust</w:t>
      </w:r>
      <w:r w:rsidR="0056216D">
        <w:rPr>
          <w:bCs w:val="0"/>
          <w:iCs/>
          <w:color w:val="381E37"/>
          <w:sz w:val="22"/>
          <w:szCs w:val="28"/>
        </w:rPr>
        <w:t>, as measured through the W</w:t>
      </w:r>
      <w:r w:rsidR="000D6D4E">
        <w:rPr>
          <w:bCs w:val="0"/>
          <w:iCs/>
          <w:color w:val="381E37"/>
          <w:sz w:val="22"/>
          <w:szCs w:val="28"/>
        </w:rPr>
        <w:t>D</w:t>
      </w:r>
      <w:r w:rsidR="0056216D">
        <w:rPr>
          <w:bCs w:val="0"/>
          <w:iCs/>
          <w:color w:val="381E37"/>
          <w:sz w:val="22"/>
          <w:szCs w:val="28"/>
        </w:rPr>
        <w:t>ES</w:t>
      </w:r>
      <w:r w:rsidR="00BC5E3F">
        <w:rPr>
          <w:bCs w:val="0"/>
          <w:iCs/>
          <w:color w:val="381E37"/>
          <w:sz w:val="22"/>
          <w:szCs w:val="28"/>
        </w:rPr>
        <w:t xml:space="preserve">. </w:t>
      </w:r>
    </w:p>
    <w:p w:rsidR="00BC13FA" w:rsidRDefault="000D6D4E" w:rsidP="00574BB8">
      <w:pPr>
        <w:pStyle w:val="Heading1"/>
        <w:numPr>
          <w:ilvl w:val="0"/>
          <w:numId w:val="0"/>
        </w:numPr>
        <w:spacing w:before="120" w:after="120"/>
        <w:jc w:val="both"/>
        <w:rPr>
          <w:bCs w:val="0"/>
          <w:iCs/>
          <w:color w:val="381E37"/>
          <w:sz w:val="22"/>
          <w:szCs w:val="28"/>
        </w:rPr>
      </w:pPr>
      <w:r>
        <w:rPr>
          <w:bCs w:val="0"/>
          <w:iCs/>
          <w:color w:val="381E37"/>
          <w:sz w:val="22"/>
          <w:szCs w:val="28"/>
        </w:rPr>
        <w:t>Th</w:t>
      </w:r>
      <w:r w:rsidR="00DB6A21">
        <w:rPr>
          <w:bCs w:val="0"/>
          <w:iCs/>
          <w:color w:val="381E37"/>
          <w:sz w:val="22"/>
          <w:szCs w:val="28"/>
        </w:rPr>
        <w:t>is</w:t>
      </w:r>
      <w:r>
        <w:rPr>
          <w:bCs w:val="0"/>
          <w:iCs/>
          <w:color w:val="381E37"/>
          <w:sz w:val="22"/>
          <w:szCs w:val="28"/>
        </w:rPr>
        <w:t xml:space="preserve"> action plan will be </w:t>
      </w:r>
      <w:r w:rsidR="00BC5E3F">
        <w:rPr>
          <w:bCs w:val="0"/>
          <w:iCs/>
          <w:color w:val="381E37"/>
          <w:sz w:val="22"/>
          <w:szCs w:val="28"/>
        </w:rPr>
        <w:t>monitored by the Workforce and Education Committee and Equality, Diversity and Inclusion Steering Group</w:t>
      </w:r>
      <w:r>
        <w:rPr>
          <w:bCs w:val="0"/>
          <w:iCs/>
          <w:color w:val="381E37"/>
          <w:sz w:val="22"/>
          <w:szCs w:val="28"/>
        </w:rPr>
        <w:t xml:space="preserve"> and findings reported to the Board</w:t>
      </w:r>
      <w:r w:rsidR="00BC5E3F">
        <w:rPr>
          <w:bCs w:val="0"/>
          <w:iCs/>
          <w:color w:val="381E37"/>
          <w:sz w:val="22"/>
          <w:szCs w:val="28"/>
        </w:rPr>
        <w:t>.</w:t>
      </w:r>
      <w:r w:rsidR="006938FB">
        <w:rPr>
          <w:bCs w:val="0"/>
          <w:iCs/>
          <w:color w:val="381E37"/>
          <w:sz w:val="22"/>
          <w:szCs w:val="28"/>
        </w:rPr>
        <w:t xml:space="preserve"> </w:t>
      </w:r>
    </w:p>
    <w:tbl>
      <w:tblPr>
        <w:tblStyle w:val="TableGrid"/>
        <w:tblW w:w="0" w:type="auto"/>
        <w:tblInd w:w="108" w:type="dxa"/>
        <w:tblLayout w:type="fixed"/>
        <w:tblLook w:val="04A0" w:firstRow="1" w:lastRow="0" w:firstColumn="1" w:lastColumn="0" w:noHBand="0" w:noVBand="1"/>
      </w:tblPr>
      <w:tblGrid>
        <w:gridCol w:w="426"/>
        <w:gridCol w:w="2126"/>
        <w:gridCol w:w="3685"/>
        <w:gridCol w:w="1843"/>
        <w:gridCol w:w="1325"/>
      </w:tblGrid>
      <w:tr w:rsidR="00DB6A21" w:rsidRPr="00574BB8" w:rsidTr="00715A5C">
        <w:tc>
          <w:tcPr>
            <w:tcW w:w="9405" w:type="dxa"/>
            <w:gridSpan w:val="5"/>
            <w:shd w:val="clear" w:color="auto" w:fill="79FFFC"/>
          </w:tcPr>
          <w:p w:rsidR="00DB6A21" w:rsidRPr="00574BB8" w:rsidRDefault="00DB6A21" w:rsidP="00715A5C">
            <w:pPr>
              <w:jc w:val="center"/>
              <w:rPr>
                <w:b/>
                <w:sz w:val="21"/>
                <w:szCs w:val="21"/>
              </w:rPr>
            </w:pPr>
            <w:r>
              <w:rPr>
                <w:b/>
                <w:sz w:val="21"/>
                <w:szCs w:val="21"/>
              </w:rPr>
              <w:t>2020/2021 WDES action plan</w:t>
            </w:r>
          </w:p>
        </w:tc>
      </w:tr>
      <w:tr w:rsidR="00DB6A21" w:rsidRPr="00574BB8" w:rsidTr="00715A5C">
        <w:tc>
          <w:tcPr>
            <w:tcW w:w="426" w:type="dxa"/>
            <w:shd w:val="clear" w:color="auto" w:fill="79FFFC"/>
          </w:tcPr>
          <w:p w:rsidR="00DB6A21" w:rsidRPr="00574BB8" w:rsidRDefault="00DB6A21" w:rsidP="00715A5C">
            <w:pPr>
              <w:rPr>
                <w:b/>
                <w:sz w:val="21"/>
                <w:szCs w:val="21"/>
              </w:rPr>
            </w:pPr>
          </w:p>
        </w:tc>
        <w:tc>
          <w:tcPr>
            <w:tcW w:w="2126" w:type="dxa"/>
            <w:shd w:val="clear" w:color="auto" w:fill="79FFFC"/>
          </w:tcPr>
          <w:p w:rsidR="00DB6A21" w:rsidRPr="00574BB8" w:rsidRDefault="00DB6A21" w:rsidP="00715A5C">
            <w:pPr>
              <w:rPr>
                <w:b/>
                <w:sz w:val="21"/>
                <w:szCs w:val="21"/>
              </w:rPr>
            </w:pPr>
            <w:r w:rsidRPr="00574BB8">
              <w:rPr>
                <w:b/>
                <w:sz w:val="21"/>
                <w:szCs w:val="21"/>
              </w:rPr>
              <w:t>Outcome required</w:t>
            </w:r>
          </w:p>
        </w:tc>
        <w:tc>
          <w:tcPr>
            <w:tcW w:w="3685" w:type="dxa"/>
            <w:shd w:val="clear" w:color="auto" w:fill="79FFFC"/>
          </w:tcPr>
          <w:p w:rsidR="00DB6A21" w:rsidRPr="00574BB8" w:rsidRDefault="00DB6A21" w:rsidP="00715A5C">
            <w:pPr>
              <w:rPr>
                <w:b/>
                <w:sz w:val="21"/>
                <w:szCs w:val="21"/>
              </w:rPr>
            </w:pPr>
            <w:r w:rsidRPr="00574BB8">
              <w:rPr>
                <w:b/>
                <w:sz w:val="21"/>
                <w:szCs w:val="21"/>
              </w:rPr>
              <w:t>Action</w:t>
            </w:r>
          </w:p>
        </w:tc>
        <w:tc>
          <w:tcPr>
            <w:tcW w:w="1843" w:type="dxa"/>
            <w:shd w:val="clear" w:color="auto" w:fill="79FFFC"/>
          </w:tcPr>
          <w:p w:rsidR="00DB6A21" w:rsidRPr="00574BB8" w:rsidRDefault="00DB6A21" w:rsidP="00715A5C">
            <w:pPr>
              <w:rPr>
                <w:b/>
                <w:sz w:val="21"/>
                <w:szCs w:val="21"/>
              </w:rPr>
            </w:pPr>
            <w:r w:rsidRPr="00574BB8">
              <w:rPr>
                <w:b/>
                <w:sz w:val="21"/>
                <w:szCs w:val="21"/>
              </w:rPr>
              <w:t>Responsibility</w:t>
            </w:r>
          </w:p>
        </w:tc>
        <w:tc>
          <w:tcPr>
            <w:tcW w:w="1325" w:type="dxa"/>
            <w:shd w:val="clear" w:color="auto" w:fill="79FFFC"/>
          </w:tcPr>
          <w:p w:rsidR="00DB6A21" w:rsidRPr="00574BB8" w:rsidRDefault="00DB6A21" w:rsidP="00715A5C">
            <w:pPr>
              <w:rPr>
                <w:b/>
                <w:sz w:val="21"/>
                <w:szCs w:val="21"/>
              </w:rPr>
            </w:pPr>
            <w:r w:rsidRPr="00574BB8">
              <w:rPr>
                <w:b/>
                <w:sz w:val="21"/>
                <w:szCs w:val="21"/>
              </w:rPr>
              <w:t>Timescale</w:t>
            </w:r>
          </w:p>
        </w:tc>
      </w:tr>
      <w:tr w:rsidR="00DB6A21" w:rsidRPr="00574BB8" w:rsidTr="00715A5C">
        <w:tc>
          <w:tcPr>
            <w:tcW w:w="426" w:type="dxa"/>
          </w:tcPr>
          <w:p w:rsidR="00DB6A21" w:rsidRPr="004C4D3E" w:rsidRDefault="00DB6A21" w:rsidP="00715A5C">
            <w:pPr>
              <w:spacing w:before="60" w:after="60"/>
              <w:rPr>
                <w:sz w:val="20"/>
                <w:szCs w:val="20"/>
              </w:rPr>
            </w:pPr>
            <w:r w:rsidRPr="004C4D3E">
              <w:rPr>
                <w:sz w:val="20"/>
                <w:szCs w:val="20"/>
              </w:rPr>
              <w:t>1</w:t>
            </w:r>
          </w:p>
        </w:tc>
        <w:tc>
          <w:tcPr>
            <w:tcW w:w="2126" w:type="dxa"/>
          </w:tcPr>
          <w:p w:rsidR="00DB6A21" w:rsidRPr="004C4D3E" w:rsidRDefault="00DB6A21" w:rsidP="00715A5C">
            <w:pPr>
              <w:spacing w:before="60" w:after="60"/>
              <w:rPr>
                <w:sz w:val="20"/>
                <w:szCs w:val="20"/>
              </w:rPr>
            </w:pPr>
            <w:r w:rsidRPr="004C4D3E">
              <w:rPr>
                <w:sz w:val="20"/>
                <w:szCs w:val="20"/>
              </w:rPr>
              <w:t>Increased reporting to Board on equality metrics and progress</w:t>
            </w:r>
          </w:p>
        </w:tc>
        <w:tc>
          <w:tcPr>
            <w:tcW w:w="3685" w:type="dxa"/>
          </w:tcPr>
          <w:p w:rsidR="00DB6A21" w:rsidRPr="004C4D3E" w:rsidRDefault="00DB6A21" w:rsidP="00715A5C">
            <w:pPr>
              <w:spacing w:before="60" w:after="60"/>
              <w:rPr>
                <w:sz w:val="20"/>
                <w:szCs w:val="20"/>
              </w:rPr>
            </w:pPr>
            <w:r w:rsidRPr="004C4D3E">
              <w:rPr>
                <w:sz w:val="20"/>
                <w:szCs w:val="20"/>
              </w:rPr>
              <w:t xml:space="preserve">Six monthly report to Board </w:t>
            </w:r>
          </w:p>
        </w:tc>
        <w:tc>
          <w:tcPr>
            <w:tcW w:w="1843" w:type="dxa"/>
          </w:tcPr>
          <w:p w:rsidR="00DB6A21" w:rsidRPr="004C4D3E" w:rsidRDefault="00DB6A21" w:rsidP="00715A5C">
            <w:pPr>
              <w:spacing w:before="60" w:after="60"/>
              <w:rPr>
                <w:sz w:val="20"/>
                <w:szCs w:val="20"/>
              </w:rPr>
            </w:pPr>
            <w:r w:rsidRPr="004C4D3E">
              <w:rPr>
                <w:sz w:val="20"/>
                <w:szCs w:val="20"/>
              </w:rPr>
              <w:t>Director of Workforce</w:t>
            </w:r>
          </w:p>
        </w:tc>
        <w:tc>
          <w:tcPr>
            <w:tcW w:w="1325" w:type="dxa"/>
          </w:tcPr>
          <w:p w:rsidR="00DB6A21" w:rsidRPr="004C4D3E" w:rsidRDefault="00DB6A21" w:rsidP="00715A5C">
            <w:pPr>
              <w:spacing w:before="60" w:after="60"/>
              <w:rPr>
                <w:sz w:val="20"/>
                <w:szCs w:val="20"/>
              </w:rPr>
            </w:pPr>
            <w:r w:rsidRPr="004C4D3E">
              <w:rPr>
                <w:sz w:val="20"/>
                <w:szCs w:val="20"/>
              </w:rPr>
              <w:t>July 20</w:t>
            </w:r>
            <w:r w:rsidR="00E11454">
              <w:rPr>
                <w:sz w:val="20"/>
                <w:szCs w:val="20"/>
              </w:rPr>
              <w:t>20</w:t>
            </w:r>
            <w:r w:rsidRPr="004C4D3E">
              <w:rPr>
                <w:sz w:val="20"/>
                <w:szCs w:val="20"/>
              </w:rPr>
              <w:t xml:space="preserve"> </w:t>
            </w:r>
          </w:p>
          <w:p w:rsidR="00DB6A21" w:rsidRPr="004C4D3E" w:rsidRDefault="00DB6A21" w:rsidP="00715A5C">
            <w:pPr>
              <w:spacing w:before="60" w:after="60"/>
              <w:rPr>
                <w:sz w:val="20"/>
                <w:szCs w:val="20"/>
              </w:rPr>
            </w:pPr>
          </w:p>
        </w:tc>
      </w:tr>
      <w:tr w:rsidR="00DB6A21" w:rsidRPr="00574BB8" w:rsidTr="00715A5C">
        <w:tc>
          <w:tcPr>
            <w:tcW w:w="426" w:type="dxa"/>
          </w:tcPr>
          <w:p w:rsidR="00DB6A21" w:rsidRPr="004C4D3E" w:rsidRDefault="00DB6A21" w:rsidP="00715A5C">
            <w:pPr>
              <w:rPr>
                <w:sz w:val="20"/>
                <w:szCs w:val="20"/>
              </w:rPr>
            </w:pPr>
            <w:r w:rsidRPr="004C4D3E">
              <w:rPr>
                <w:sz w:val="20"/>
                <w:szCs w:val="20"/>
              </w:rPr>
              <w:t>2</w:t>
            </w:r>
          </w:p>
          <w:p w:rsidR="00DB6A21" w:rsidRPr="004C4D3E" w:rsidRDefault="00DB6A21" w:rsidP="00715A5C">
            <w:pPr>
              <w:rPr>
                <w:sz w:val="20"/>
                <w:szCs w:val="20"/>
              </w:rPr>
            </w:pPr>
          </w:p>
        </w:tc>
        <w:tc>
          <w:tcPr>
            <w:tcW w:w="2126" w:type="dxa"/>
          </w:tcPr>
          <w:p w:rsidR="00DB6A21" w:rsidRPr="004C4D3E" w:rsidRDefault="00DB6A21" w:rsidP="00715A5C">
            <w:pPr>
              <w:rPr>
                <w:sz w:val="20"/>
                <w:szCs w:val="20"/>
              </w:rPr>
            </w:pPr>
            <w:r w:rsidRPr="004C4D3E">
              <w:rPr>
                <w:sz w:val="20"/>
                <w:szCs w:val="20"/>
              </w:rPr>
              <w:t>Conversations about disability and inclusion are held across the organisation</w:t>
            </w:r>
          </w:p>
        </w:tc>
        <w:tc>
          <w:tcPr>
            <w:tcW w:w="3685" w:type="dxa"/>
          </w:tcPr>
          <w:p w:rsidR="00DB6A21" w:rsidRDefault="00DB6A21" w:rsidP="00715A5C">
            <w:pPr>
              <w:rPr>
                <w:sz w:val="20"/>
                <w:szCs w:val="20"/>
              </w:rPr>
            </w:pPr>
            <w:r w:rsidRPr="004C4D3E">
              <w:rPr>
                <w:sz w:val="20"/>
                <w:szCs w:val="20"/>
              </w:rPr>
              <w:t>Schwartz rounds on diversity and inclusion topic as part of the annual series of Schwartz rounds with members of the disabilities network as contributing panel members</w:t>
            </w:r>
          </w:p>
          <w:p w:rsidR="00E11454" w:rsidRDefault="00F80446" w:rsidP="00715A5C">
            <w:pPr>
              <w:rPr>
                <w:sz w:val="20"/>
                <w:szCs w:val="20"/>
              </w:rPr>
            </w:pPr>
            <w:r>
              <w:rPr>
                <w:sz w:val="20"/>
                <w:szCs w:val="20"/>
              </w:rPr>
              <w:t>Develop a communications</w:t>
            </w:r>
            <w:r w:rsidR="00E11454">
              <w:rPr>
                <w:sz w:val="20"/>
                <w:szCs w:val="20"/>
              </w:rPr>
              <w:t xml:space="preserve"> and infographics</w:t>
            </w:r>
            <w:r>
              <w:rPr>
                <w:sz w:val="20"/>
                <w:szCs w:val="20"/>
              </w:rPr>
              <w:t xml:space="preserve"> to </w:t>
            </w:r>
            <w:r w:rsidR="00E11454">
              <w:rPr>
                <w:sz w:val="20"/>
                <w:szCs w:val="20"/>
              </w:rPr>
              <w:t>raise the profile of the Disability Network</w:t>
            </w:r>
            <w:r w:rsidR="00755CCD">
              <w:rPr>
                <w:sz w:val="20"/>
                <w:szCs w:val="20"/>
              </w:rPr>
              <w:t>,</w:t>
            </w:r>
            <w:r w:rsidR="00E11454">
              <w:rPr>
                <w:sz w:val="20"/>
                <w:szCs w:val="20"/>
              </w:rPr>
              <w:t xml:space="preserve"> disability related issues</w:t>
            </w:r>
            <w:r w:rsidR="00755CCD">
              <w:rPr>
                <w:sz w:val="20"/>
                <w:szCs w:val="20"/>
              </w:rPr>
              <w:t xml:space="preserve"> as well as increase membership</w:t>
            </w:r>
            <w:r w:rsidR="00E11454">
              <w:rPr>
                <w:sz w:val="20"/>
                <w:szCs w:val="20"/>
              </w:rPr>
              <w:t xml:space="preserve">. </w:t>
            </w:r>
          </w:p>
          <w:p w:rsidR="00F80446" w:rsidRPr="004C4D3E" w:rsidRDefault="003928DA" w:rsidP="00715A5C">
            <w:pPr>
              <w:rPr>
                <w:sz w:val="20"/>
                <w:szCs w:val="20"/>
              </w:rPr>
            </w:pPr>
            <w:r>
              <w:rPr>
                <w:sz w:val="20"/>
                <w:szCs w:val="20"/>
              </w:rPr>
              <w:t>Regularly e</w:t>
            </w:r>
            <w:r w:rsidR="00F80446">
              <w:rPr>
                <w:sz w:val="20"/>
                <w:szCs w:val="20"/>
              </w:rPr>
              <w:t xml:space="preserve">ncourage staff to </w:t>
            </w:r>
            <w:r w:rsidR="00E11454">
              <w:rPr>
                <w:sz w:val="20"/>
                <w:szCs w:val="20"/>
              </w:rPr>
              <w:t xml:space="preserve">update their demographic details on ESR. </w:t>
            </w:r>
          </w:p>
        </w:tc>
        <w:tc>
          <w:tcPr>
            <w:tcW w:w="1843" w:type="dxa"/>
          </w:tcPr>
          <w:p w:rsidR="00DB6A21" w:rsidRDefault="00DB6A21" w:rsidP="00715A5C">
            <w:pPr>
              <w:rPr>
                <w:sz w:val="20"/>
                <w:szCs w:val="20"/>
              </w:rPr>
            </w:pPr>
            <w:r w:rsidRPr="004C4D3E">
              <w:rPr>
                <w:sz w:val="20"/>
                <w:szCs w:val="20"/>
              </w:rPr>
              <w:t>Head of EDI/ Divisional Director Cancer Services</w:t>
            </w:r>
          </w:p>
          <w:p w:rsidR="003928DA" w:rsidRDefault="003928DA" w:rsidP="00715A5C">
            <w:pPr>
              <w:rPr>
                <w:sz w:val="20"/>
                <w:szCs w:val="20"/>
              </w:rPr>
            </w:pPr>
          </w:p>
          <w:p w:rsidR="00E11454" w:rsidRPr="004C4D3E" w:rsidRDefault="00E11454" w:rsidP="00715A5C">
            <w:pPr>
              <w:rPr>
                <w:sz w:val="20"/>
                <w:szCs w:val="20"/>
              </w:rPr>
            </w:pPr>
            <w:r>
              <w:rPr>
                <w:sz w:val="20"/>
                <w:szCs w:val="20"/>
              </w:rPr>
              <w:t>EDI/Communications/Divisional Director of Cancer Services</w:t>
            </w:r>
          </w:p>
        </w:tc>
        <w:tc>
          <w:tcPr>
            <w:tcW w:w="1325" w:type="dxa"/>
          </w:tcPr>
          <w:p w:rsidR="00DB6A21" w:rsidRDefault="00E11454" w:rsidP="00715A5C">
            <w:pPr>
              <w:rPr>
                <w:sz w:val="20"/>
                <w:szCs w:val="20"/>
              </w:rPr>
            </w:pPr>
            <w:r>
              <w:rPr>
                <w:sz w:val="20"/>
                <w:szCs w:val="20"/>
              </w:rPr>
              <w:t xml:space="preserve"> </w:t>
            </w:r>
            <w:r w:rsidR="003928DA">
              <w:rPr>
                <w:sz w:val="20"/>
                <w:szCs w:val="20"/>
              </w:rPr>
              <w:t>March</w:t>
            </w:r>
            <w:r>
              <w:rPr>
                <w:sz w:val="20"/>
                <w:szCs w:val="20"/>
              </w:rPr>
              <w:t xml:space="preserve"> 202</w:t>
            </w:r>
            <w:r w:rsidR="003928DA">
              <w:rPr>
                <w:sz w:val="20"/>
                <w:szCs w:val="20"/>
              </w:rPr>
              <w:t>1</w:t>
            </w:r>
          </w:p>
          <w:p w:rsidR="003928DA" w:rsidRDefault="003928DA" w:rsidP="00715A5C">
            <w:pPr>
              <w:rPr>
                <w:sz w:val="20"/>
                <w:szCs w:val="20"/>
              </w:rPr>
            </w:pPr>
          </w:p>
          <w:p w:rsidR="003928DA" w:rsidRDefault="003928DA" w:rsidP="00715A5C">
            <w:pPr>
              <w:rPr>
                <w:sz w:val="20"/>
                <w:szCs w:val="20"/>
              </w:rPr>
            </w:pPr>
          </w:p>
          <w:p w:rsidR="003928DA" w:rsidRDefault="003928DA" w:rsidP="00715A5C">
            <w:pPr>
              <w:rPr>
                <w:sz w:val="20"/>
                <w:szCs w:val="20"/>
              </w:rPr>
            </w:pPr>
          </w:p>
          <w:p w:rsidR="003928DA" w:rsidRDefault="003928DA" w:rsidP="00715A5C">
            <w:pPr>
              <w:rPr>
                <w:sz w:val="20"/>
                <w:szCs w:val="20"/>
              </w:rPr>
            </w:pPr>
            <w:r>
              <w:rPr>
                <w:sz w:val="20"/>
                <w:szCs w:val="20"/>
              </w:rPr>
              <w:t>November 2020</w:t>
            </w:r>
          </w:p>
          <w:p w:rsidR="003928DA" w:rsidRDefault="003928DA" w:rsidP="00715A5C">
            <w:pPr>
              <w:rPr>
                <w:sz w:val="20"/>
                <w:szCs w:val="20"/>
              </w:rPr>
            </w:pPr>
          </w:p>
          <w:p w:rsidR="003928DA" w:rsidRDefault="003928DA" w:rsidP="00715A5C">
            <w:pPr>
              <w:rPr>
                <w:sz w:val="20"/>
                <w:szCs w:val="20"/>
              </w:rPr>
            </w:pPr>
            <w:r>
              <w:rPr>
                <w:sz w:val="20"/>
                <w:szCs w:val="20"/>
              </w:rPr>
              <w:t>July 2021</w:t>
            </w:r>
          </w:p>
          <w:p w:rsidR="003928DA" w:rsidRPr="004C4D3E" w:rsidRDefault="003928DA" w:rsidP="00715A5C">
            <w:pPr>
              <w:rPr>
                <w:sz w:val="20"/>
                <w:szCs w:val="20"/>
              </w:rPr>
            </w:pPr>
          </w:p>
        </w:tc>
      </w:tr>
      <w:tr w:rsidR="00DB6A21" w:rsidRPr="00574BB8" w:rsidTr="00715A5C">
        <w:tc>
          <w:tcPr>
            <w:tcW w:w="426" w:type="dxa"/>
          </w:tcPr>
          <w:p w:rsidR="00DB6A21" w:rsidRPr="004C4D3E" w:rsidRDefault="00DB6A21" w:rsidP="00715A5C">
            <w:pPr>
              <w:rPr>
                <w:sz w:val="20"/>
                <w:szCs w:val="20"/>
              </w:rPr>
            </w:pPr>
            <w:r w:rsidRPr="004C4D3E">
              <w:rPr>
                <w:sz w:val="20"/>
                <w:szCs w:val="20"/>
              </w:rPr>
              <w:t>3</w:t>
            </w:r>
          </w:p>
        </w:tc>
        <w:tc>
          <w:tcPr>
            <w:tcW w:w="2126" w:type="dxa"/>
          </w:tcPr>
          <w:p w:rsidR="00DB6A21" w:rsidRPr="004C4D3E" w:rsidRDefault="00DB6A21" w:rsidP="00715A5C">
            <w:pPr>
              <w:rPr>
                <w:sz w:val="20"/>
                <w:szCs w:val="20"/>
              </w:rPr>
            </w:pPr>
            <w:r w:rsidRPr="004C4D3E">
              <w:rPr>
                <w:sz w:val="20"/>
                <w:szCs w:val="20"/>
              </w:rPr>
              <w:t>Values are embedded into employment policy and practice and are widely known across the organisation with team level understanding</w:t>
            </w:r>
          </w:p>
        </w:tc>
        <w:tc>
          <w:tcPr>
            <w:tcW w:w="3685" w:type="dxa"/>
          </w:tcPr>
          <w:p w:rsidR="00DB6A21" w:rsidRPr="004C4D3E" w:rsidRDefault="00DB6A21" w:rsidP="00715A5C">
            <w:pPr>
              <w:rPr>
                <w:sz w:val="20"/>
                <w:szCs w:val="20"/>
              </w:rPr>
            </w:pPr>
            <w:r w:rsidRPr="004C4D3E">
              <w:rPr>
                <w:sz w:val="20"/>
                <w:szCs w:val="20"/>
              </w:rPr>
              <w:t xml:space="preserve">Launch interview support for managers including </w:t>
            </w:r>
            <w:r w:rsidR="00520F37" w:rsidRPr="004C4D3E">
              <w:rPr>
                <w:sz w:val="20"/>
                <w:szCs w:val="20"/>
              </w:rPr>
              <w:t>values-based</w:t>
            </w:r>
            <w:r w:rsidRPr="004C4D3E">
              <w:rPr>
                <w:sz w:val="20"/>
                <w:szCs w:val="20"/>
              </w:rPr>
              <w:t xml:space="preserve"> interview questions</w:t>
            </w:r>
          </w:p>
        </w:tc>
        <w:tc>
          <w:tcPr>
            <w:tcW w:w="1843" w:type="dxa"/>
          </w:tcPr>
          <w:p w:rsidR="00DB6A21" w:rsidRPr="004C4D3E" w:rsidRDefault="00DB6A21" w:rsidP="00715A5C">
            <w:pPr>
              <w:rPr>
                <w:sz w:val="20"/>
                <w:szCs w:val="20"/>
              </w:rPr>
            </w:pPr>
            <w:r w:rsidRPr="004C4D3E">
              <w:rPr>
                <w:sz w:val="20"/>
                <w:szCs w:val="20"/>
              </w:rPr>
              <w:t>Deputy Director of HR</w:t>
            </w:r>
            <w:r w:rsidR="00115A0A">
              <w:rPr>
                <w:sz w:val="20"/>
                <w:szCs w:val="20"/>
              </w:rPr>
              <w:t xml:space="preserve">/Head of Resourcing </w:t>
            </w:r>
          </w:p>
        </w:tc>
        <w:tc>
          <w:tcPr>
            <w:tcW w:w="1325" w:type="dxa"/>
          </w:tcPr>
          <w:p w:rsidR="00DB6A21" w:rsidRPr="004C4D3E" w:rsidRDefault="003928DA" w:rsidP="00715A5C">
            <w:pPr>
              <w:rPr>
                <w:sz w:val="20"/>
                <w:szCs w:val="20"/>
              </w:rPr>
            </w:pPr>
            <w:r>
              <w:rPr>
                <w:sz w:val="20"/>
                <w:szCs w:val="20"/>
              </w:rPr>
              <w:t xml:space="preserve">November </w:t>
            </w:r>
            <w:r w:rsidR="00DB6A21" w:rsidRPr="004C4D3E">
              <w:rPr>
                <w:sz w:val="20"/>
                <w:szCs w:val="20"/>
              </w:rPr>
              <w:t>20</w:t>
            </w:r>
            <w:r>
              <w:rPr>
                <w:sz w:val="20"/>
                <w:szCs w:val="20"/>
              </w:rPr>
              <w:t>20</w:t>
            </w:r>
          </w:p>
        </w:tc>
      </w:tr>
      <w:tr w:rsidR="00DB6A21" w:rsidRPr="00574BB8" w:rsidTr="00715A5C">
        <w:tc>
          <w:tcPr>
            <w:tcW w:w="426" w:type="dxa"/>
          </w:tcPr>
          <w:p w:rsidR="00DB6A21" w:rsidRPr="004C4D3E" w:rsidRDefault="00DB6A21" w:rsidP="00715A5C">
            <w:pPr>
              <w:rPr>
                <w:sz w:val="20"/>
                <w:szCs w:val="20"/>
              </w:rPr>
            </w:pPr>
            <w:r w:rsidRPr="004C4D3E">
              <w:rPr>
                <w:sz w:val="20"/>
                <w:szCs w:val="20"/>
              </w:rPr>
              <w:t>4</w:t>
            </w:r>
          </w:p>
        </w:tc>
        <w:tc>
          <w:tcPr>
            <w:tcW w:w="2126" w:type="dxa"/>
          </w:tcPr>
          <w:p w:rsidR="00DB6A21" w:rsidRPr="004C4D3E" w:rsidRDefault="00DB6A21" w:rsidP="00715A5C">
            <w:pPr>
              <w:rPr>
                <w:sz w:val="20"/>
                <w:szCs w:val="20"/>
              </w:rPr>
            </w:pPr>
            <w:r w:rsidRPr="004C4D3E">
              <w:rPr>
                <w:sz w:val="20"/>
                <w:szCs w:val="20"/>
              </w:rPr>
              <w:t>Recruitment panel members are diverse and have undertaken equality and diversity training</w:t>
            </w:r>
          </w:p>
        </w:tc>
        <w:tc>
          <w:tcPr>
            <w:tcW w:w="3685" w:type="dxa"/>
          </w:tcPr>
          <w:p w:rsidR="00DB6A21" w:rsidRPr="004C4D3E" w:rsidRDefault="00DB6A21" w:rsidP="00715A5C">
            <w:pPr>
              <w:rPr>
                <w:sz w:val="20"/>
                <w:szCs w:val="20"/>
              </w:rPr>
            </w:pPr>
            <w:r w:rsidRPr="004C4D3E">
              <w:rPr>
                <w:sz w:val="20"/>
                <w:szCs w:val="20"/>
              </w:rPr>
              <w:t xml:space="preserve">Quarterly monitoring of panel member training compliance and </w:t>
            </w:r>
            <w:r w:rsidR="00115A0A">
              <w:rPr>
                <w:sz w:val="20"/>
                <w:szCs w:val="20"/>
              </w:rPr>
              <w:t xml:space="preserve">disability </w:t>
            </w:r>
            <w:r w:rsidRPr="004C4D3E">
              <w:rPr>
                <w:sz w:val="20"/>
                <w:szCs w:val="20"/>
              </w:rPr>
              <w:t>composition with candidate outcomes (for Band 8a and above vacancies)</w:t>
            </w:r>
          </w:p>
        </w:tc>
        <w:tc>
          <w:tcPr>
            <w:tcW w:w="1843" w:type="dxa"/>
          </w:tcPr>
          <w:p w:rsidR="00DB6A21" w:rsidRPr="004C4D3E" w:rsidRDefault="00DB6A21" w:rsidP="00715A5C">
            <w:pPr>
              <w:rPr>
                <w:sz w:val="20"/>
                <w:szCs w:val="20"/>
              </w:rPr>
            </w:pPr>
            <w:r w:rsidRPr="004C4D3E">
              <w:rPr>
                <w:sz w:val="20"/>
                <w:szCs w:val="20"/>
              </w:rPr>
              <w:t>Head of Resourcing/ Head of EDI</w:t>
            </w:r>
          </w:p>
        </w:tc>
        <w:tc>
          <w:tcPr>
            <w:tcW w:w="1325" w:type="dxa"/>
          </w:tcPr>
          <w:p w:rsidR="00DB6A21" w:rsidRPr="004C4D3E" w:rsidRDefault="003928DA" w:rsidP="00715A5C">
            <w:pPr>
              <w:rPr>
                <w:sz w:val="20"/>
                <w:szCs w:val="20"/>
              </w:rPr>
            </w:pPr>
            <w:r>
              <w:rPr>
                <w:sz w:val="20"/>
                <w:szCs w:val="20"/>
              </w:rPr>
              <w:t xml:space="preserve">November </w:t>
            </w:r>
            <w:r w:rsidR="00DB6A21" w:rsidRPr="004C4D3E">
              <w:rPr>
                <w:sz w:val="20"/>
                <w:szCs w:val="20"/>
              </w:rPr>
              <w:t>20</w:t>
            </w:r>
            <w:r>
              <w:rPr>
                <w:sz w:val="20"/>
                <w:szCs w:val="20"/>
              </w:rPr>
              <w:t>20</w:t>
            </w:r>
          </w:p>
        </w:tc>
      </w:tr>
      <w:tr w:rsidR="00DB6A21" w:rsidRPr="00574BB8" w:rsidTr="00715A5C">
        <w:tc>
          <w:tcPr>
            <w:tcW w:w="426" w:type="dxa"/>
          </w:tcPr>
          <w:p w:rsidR="00DB6A21" w:rsidRPr="004C4D3E" w:rsidRDefault="00DB6A21" w:rsidP="00715A5C">
            <w:pPr>
              <w:rPr>
                <w:sz w:val="20"/>
                <w:szCs w:val="20"/>
              </w:rPr>
            </w:pPr>
            <w:r w:rsidRPr="004C4D3E">
              <w:rPr>
                <w:sz w:val="20"/>
                <w:szCs w:val="20"/>
              </w:rPr>
              <w:t>5</w:t>
            </w:r>
          </w:p>
        </w:tc>
        <w:tc>
          <w:tcPr>
            <w:tcW w:w="2126" w:type="dxa"/>
          </w:tcPr>
          <w:p w:rsidR="00DB6A21" w:rsidRPr="004C4D3E" w:rsidRDefault="00DB6A21" w:rsidP="00715A5C">
            <w:pPr>
              <w:rPr>
                <w:sz w:val="20"/>
                <w:szCs w:val="20"/>
              </w:rPr>
            </w:pPr>
            <w:r w:rsidRPr="004C4D3E">
              <w:rPr>
                <w:sz w:val="20"/>
                <w:szCs w:val="20"/>
              </w:rPr>
              <w:t xml:space="preserve">Inclusive leadership to be integral part of all leadership </w:t>
            </w:r>
            <w:r w:rsidRPr="004C4D3E">
              <w:rPr>
                <w:sz w:val="20"/>
                <w:szCs w:val="20"/>
              </w:rPr>
              <w:lastRenderedPageBreak/>
              <w:t>development programmes</w:t>
            </w:r>
          </w:p>
        </w:tc>
        <w:tc>
          <w:tcPr>
            <w:tcW w:w="3685" w:type="dxa"/>
          </w:tcPr>
          <w:p w:rsidR="00DB6A21" w:rsidRPr="004C4D3E" w:rsidRDefault="00DB6A21" w:rsidP="00715A5C">
            <w:pPr>
              <w:rPr>
                <w:sz w:val="20"/>
                <w:szCs w:val="20"/>
              </w:rPr>
            </w:pPr>
            <w:r w:rsidRPr="004C4D3E">
              <w:rPr>
                <w:sz w:val="20"/>
                <w:szCs w:val="20"/>
              </w:rPr>
              <w:lastRenderedPageBreak/>
              <w:t>New programmes that are being procured require inclusive leadership to be a key component.</w:t>
            </w:r>
          </w:p>
        </w:tc>
        <w:tc>
          <w:tcPr>
            <w:tcW w:w="1843" w:type="dxa"/>
          </w:tcPr>
          <w:p w:rsidR="00DB6A21" w:rsidRPr="004C4D3E" w:rsidRDefault="00DB6A21" w:rsidP="00715A5C">
            <w:pPr>
              <w:rPr>
                <w:sz w:val="20"/>
                <w:szCs w:val="20"/>
              </w:rPr>
            </w:pPr>
            <w:r w:rsidRPr="004C4D3E">
              <w:rPr>
                <w:sz w:val="20"/>
                <w:szCs w:val="20"/>
              </w:rPr>
              <w:t>Asst Director Workforce Development</w:t>
            </w:r>
          </w:p>
        </w:tc>
        <w:tc>
          <w:tcPr>
            <w:tcW w:w="1325" w:type="dxa"/>
          </w:tcPr>
          <w:p w:rsidR="00DB6A21" w:rsidRPr="004C4D3E" w:rsidRDefault="003928DA" w:rsidP="00715A5C">
            <w:pPr>
              <w:rPr>
                <w:sz w:val="20"/>
                <w:szCs w:val="20"/>
              </w:rPr>
            </w:pPr>
            <w:r>
              <w:rPr>
                <w:sz w:val="20"/>
                <w:szCs w:val="20"/>
              </w:rPr>
              <w:t>Ongoing</w:t>
            </w:r>
          </w:p>
        </w:tc>
      </w:tr>
      <w:tr w:rsidR="00115A0A" w:rsidRPr="00574BB8" w:rsidTr="00715A5C">
        <w:tc>
          <w:tcPr>
            <w:tcW w:w="426" w:type="dxa"/>
          </w:tcPr>
          <w:p w:rsidR="00115A0A" w:rsidRPr="004C4D3E" w:rsidRDefault="00115A0A" w:rsidP="00715A5C">
            <w:pPr>
              <w:rPr>
                <w:sz w:val="20"/>
                <w:szCs w:val="20"/>
              </w:rPr>
            </w:pPr>
          </w:p>
        </w:tc>
        <w:tc>
          <w:tcPr>
            <w:tcW w:w="2126" w:type="dxa"/>
          </w:tcPr>
          <w:p w:rsidR="00115A0A" w:rsidRPr="004C4D3E" w:rsidRDefault="00E11454" w:rsidP="00715A5C">
            <w:pPr>
              <w:rPr>
                <w:sz w:val="20"/>
                <w:szCs w:val="20"/>
              </w:rPr>
            </w:pPr>
            <w:r>
              <w:rPr>
                <w:sz w:val="20"/>
                <w:szCs w:val="20"/>
              </w:rPr>
              <w:t xml:space="preserve">Reduce the likelihood of disabled staff </w:t>
            </w:r>
            <w:r w:rsidR="00520F37">
              <w:rPr>
                <w:sz w:val="20"/>
                <w:szCs w:val="20"/>
              </w:rPr>
              <w:t>entering</w:t>
            </w:r>
            <w:r>
              <w:rPr>
                <w:sz w:val="20"/>
                <w:szCs w:val="20"/>
              </w:rPr>
              <w:t xml:space="preserve"> formal c</w:t>
            </w:r>
            <w:r w:rsidR="00115A0A">
              <w:rPr>
                <w:sz w:val="20"/>
                <w:szCs w:val="20"/>
              </w:rPr>
              <w:t>ap</w:t>
            </w:r>
            <w:r w:rsidR="00966E93">
              <w:rPr>
                <w:sz w:val="20"/>
                <w:szCs w:val="20"/>
              </w:rPr>
              <w:t>a</w:t>
            </w:r>
            <w:r w:rsidR="00115A0A">
              <w:rPr>
                <w:sz w:val="20"/>
                <w:szCs w:val="20"/>
              </w:rPr>
              <w:t>bility</w:t>
            </w:r>
            <w:r>
              <w:rPr>
                <w:sz w:val="20"/>
                <w:szCs w:val="20"/>
              </w:rPr>
              <w:t xml:space="preserve"> proceedings</w:t>
            </w:r>
            <w:r w:rsidR="00115A0A">
              <w:rPr>
                <w:sz w:val="20"/>
                <w:szCs w:val="20"/>
              </w:rPr>
              <w:t xml:space="preserve"> </w:t>
            </w:r>
          </w:p>
        </w:tc>
        <w:tc>
          <w:tcPr>
            <w:tcW w:w="3685" w:type="dxa"/>
          </w:tcPr>
          <w:p w:rsidR="00E11454" w:rsidRDefault="00E11454" w:rsidP="00E11454">
            <w:pPr>
              <w:rPr>
                <w:sz w:val="21"/>
                <w:szCs w:val="21"/>
              </w:rPr>
            </w:pPr>
            <w:r>
              <w:rPr>
                <w:sz w:val="21"/>
                <w:szCs w:val="21"/>
              </w:rPr>
              <w:t xml:space="preserve">Undertake regular case reviews to ensure due process is followed fairly </w:t>
            </w:r>
          </w:p>
          <w:p w:rsidR="00E11454" w:rsidRDefault="00E11454" w:rsidP="00E11454">
            <w:pPr>
              <w:rPr>
                <w:sz w:val="21"/>
                <w:szCs w:val="21"/>
              </w:rPr>
            </w:pPr>
            <w:r>
              <w:rPr>
                <w:sz w:val="21"/>
                <w:szCs w:val="21"/>
              </w:rPr>
              <w:t>Transfer any learning acquired through monitoring WRES 3 indicator</w:t>
            </w:r>
          </w:p>
          <w:p w:rsidR="00115A0A" w:rsidRPr="004C4D3E" w:rsidRDefault="00E11454" w:rsidP="00E11454">
            <w:pPr>
              <w:rPr>
                <w:sz w:val="20"/>
                <w:szCs w:val="20"/>
              </w:rPr>
            </w:pPr>
            <w:r>
              <w:rPr>
                <w:sz w:val="21"/>
                <w:szCs w:val="21"/>
              </w:rPr>
              <w:t xml:space="preserve">Refresh ER training for managers   </w:t>
            </w:r>
          </w:p>
        </w:tc>
        <w:tc>
          <w:tcPr>
            <w:tcW w:w="1843" w:type="dxa"/>
          </w:tcPr>
          <w:p w:rsidR="00115A0A" w:rsidRPr="004C4D3E" w:rsidRDefault="00E11454" w:rsidP="00715A5C">
            <w:pPr>
              <w:rPr>
                <w:sz w:val="20"/>
                <w:szCs w:val="20"/>
              </w:rPr>
            </w:pPr>
            <w:r>
              <w:rPr>
                <w:sz w:val="20"/>
                <w:szCs w:val="20"/>
              </w:rPr>
              <w:t xml:space="preserve">Deputy Director </w:t>
            </w:r>
            <w:r w:rsidR="003928DA">
              <w:rPr>
                <w:sz w:val="20"/>
                <w:szCs w:val="20"/>
              </w:rPr>
              <w:t>of HR/ER team/EDI</w:t>
            </w:r>
          </w:p>
        </w:tc>
        <w:tc>
          <w:tcPr>
            <w:tcW w:w="1325" w:type="dxa"/>
          </w:tcPr>
          <w:p w:rsidR="00115A0A" w:rsidRPr="004C4D3E" w:rsidRDefault="00966E93" w:rsidP="00715A5C">
            <w:pPr>
              <w:rPr>
                <w:sz w:val="20"/>
                <w:szCs w:val="20"/>
              </w:rPr>
            </w:pPr>
            <w:r>
              <w:rPr>
                <w:sz w:val="20"/>
                <w:szCs w:val="20"/>
              </w:rPr>
              <w:t>March 2021</w:t>
            </w:r>
          </w:p>
        </w:tc>
      </w:tr>
    </w:tbl>
    <w:p w:rsidR="002E33EB" w:rsidRDefault="002E33EB" w:rsidP="002C2E6B"/>
    <w:p w:rsidR="00777C98" w:rsidRDefault="000C72B6" w:rsidP="00777C98">
      <w:pPr>
        <w:pStyle w:val="Heading1"/>
      </w:pPr>
      <w:r>
        <w:t>Report approval</w:t>
      </w:r>
    </w:p>
    <w:p w:rsidR="004559D5" w:rsidRPr="00777C98" w:rsidRDefault="004559D5" w:rsidP="004559D5">
      <w:pPr>
        <w:jc w:val="both"/>
      </w:pPr>
      <w:bookmarkStart w:id="2" w:name="_GoBack"/>
      <w:bookmarkEnd w:id="2"/>
      <w:r>
        <w:t>The Equality, Diversity and Inclusion Steering Group has approved the 2020 W</w:t>
      </w:r>
      <w:r>
        <w:t>D</w:t>
      </w:r>
      <w:r>
        <w:t>ES Report for formal publishing to meet W</w:t>
      </w:r>
      <w:r>
        <w:t>D</w:t>
      </w:r>
      <w:r>
        <w:t xml:space="preserve">ES deadlines. </w:t>
      </w:r>
    </w:p>
    <w:p w:rsidR="000F1F81" w:rsidRDefault="00B0543A" w:rsidP="00EA0FD5">
      <w:pPr>
        <w:sectPr w:rsidR="000F1F81" w:rsidSect="00620F9D">
          <w:headerReference w:type="even" r:id="rId11"/>
          <w:headerReference w:type="default" r:id="rId12"/>
          <w:footerReference w:type="default" r:id="rId13"/>
          <w:headerReference w:type="first" r:id="rId14"/>
          <w:pgSz w:w="11906" w:h="16838" w:code="9"/>
          <w:pgMar w:top="1440" w:right="851" w:bottom="1440" w:left="1758" w:header="709" w:footer="709" w:gutter="0"/>
          <w:cols w:space="708"/>
          <w:docGrid w:linePitch="360"/>
        </w:sectPr>
      </w:pPr>
      <w:r>
        <w:br w:type="page"/>
      </w:r>
    </w:p>
    <w:p w:rsidR="00E75DBC" w:rsidRDefault="006C51FC" w:rsidP="004D1C35">
      <w:pPr>
        <w:pStyle w:val="Heading2"/>
        <w:numPr>
          <w:ilvl w:val="0"/>
          <w:numId w:val="0"/>
        </w:numPr>
        <w:spacing w:before="0" w:after="120"/>
        <w:rPr>
          <w:b/>
          <w:sz w:val="24"/>
          <w:szCs w:val="24"/>
        </w:rPr>
      </w:pPr>
      <w:r w:rsidRPr="006C51FC">
        <w:rPr>
          <w:b/>
          <w:sz w:val="24"/>
          <w:szCs w:val="24"/>
        </w:rPr>
        <w:lastRenderedPageBreak/>
        <w:t>Appendix 1: Summary of 20</w:t>
      </w:r>
      <w:r w:rsidR="006C37EC">
        <w:rPr>
          <w:b/>
          <w:sz w:val="24"/>
          <w:szCs w:val="24"/>
        </w:rPr>
        <w:t>20</w:t>
      </w:r>
      <w:r w:rsidRPr="006C51FC">
        <w:rPr>
          <w:b/>
          <w:sz w:val="24"/>
          <w:szCs w:val="24"/>
        </w:rPr>
        <w:t xml:space="preserve"> WD</w:t>
      </w:r>
      <w:r w:rsidR="00E75DBC" w:rsidRPr="006C51FC">
        <w:rPr>
          <w:b/>
          <w:sz w:val="24"/>
          <w:szCs w:val="24"/>
        </w:rPr>
        <w:t>ES findings</w:t>
      </w:r>
      <w:r w:rsidR="00487B74" w:rsidRPr="006C51FC">
        <w:rPr>
          <w:b/>
          <w:sz w:val="24"/>
          <w:szCs w:val="24"/>
        </w:rPr>
        <w:t xml:space="preserve"> </w:t>
      </w:r>
      <w:r w:rsidR="00DC6E8B">
        <w:rPr>
          <w:b/>
          <w:sz w:val="24"/>
          <w:szCs w:val="24"/>
        </w:rPr>
        <w:t>(31 March 20</w:t>
      </w:r>
      <w:r w:rsidR="006C37EC">
        <w:rPr>
          <w:b/>
          <w:sz w:val="24"/>
          <w:szCs w:val="24"/>
        </w:rPr>
        <w:t>20</w:t>
      </w:r>
      <w:r w:rsidR="00DC6E8B">
        <w:rPr>
          <w:b/>
          <w:sz w:val="24"/>
          <w:szCs w:val="24"/>
        </w:rPr>
        <w:t>)</w:t>
      </w:r>
    </w:p>
    <w:p w:rsidR="00021072" w:rsidRDefault="004559D5" w:rsidP="00DB6A21">
      <w:pPr>
        <w:rPr>
          <w:noProof/>
        </w:rPr>
      </w:pPr>
      <w:r>
        <w:rPr>
          <w:noProof/>
        </w:rPr>
        <w:pict>
          <v:rect id="_x0000_i1025" style="width:0;height:1.5pt" o:hralign="center" o:hrstd="t" o:hr="t" fillcolor="gray" stroked="f"/>
        </w:pict>
      </w:r>
    </w:p>
    <w:p w:rsidR="00DB6A21" w:rsidRPr="00DB6A21" w:rsidRDefault="001C5D71" w:rsidP="00DB6A21">
      <w:r w:rsidRPr="001C5D71">
        <w:rPr>
          <w:noProof/>
        </w:rPr>
        <w:drawing>
          <wp:inline distT="0" distB="0" distL="0" distR="0">
            <wp:extent cx="5903595" cy="8194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3595" cy="8194040"/>
                    </a:xfrm>
                    <a:prstGeom prst="rect">
                      <a:avLst/>
                    </a:prstGeom>
                    <a:noFill/>
                    <a:ln>
                      <a:noFill/>
                    </a:ln>
                  </pic:spPr>
                </pic:pic>
              </a:graphicData>
            </a:graphic>
          </wp:inline>
        </w:drawing>
      </w:r>
    </w:p>
    <w:p w:rsidR="00194A7A" w:rsidRPr="003928DA" w:rsidRDefault="00745C3C" w:rsidP="00715A5C">
      <w:pPr>
        <w:pStyle w:val="Heading2"/>
        <w:numPr>
          <w:ilvl w:val="0"/>
          <w:numId w:val="0"/>
        </w:numPr>
        <w:spacing w:after="240"/>
        <w:rPr>
          <w:b/>
          <w:color w:val="FF0000"/>
          <w:sz w:val="22"/>
          <w:szCs w:val="22"/>
        </w:rPr>
      </w:pPr>
      <w:r w:rsidRPr="00DC6E8B">
        <w:rPr>
          <w:b/>
          <w:sz w:val="22"/>
          <w:szCs w:val="22"/>
        </w:rPr>
        <w:lastRenderedPageBreak/>
        <w:t>Appendix 2</w:t>
      </w:r>
      <w:r w:rsidR="00501891" w:rsidRPr="00DC6E8B">
        <w:rPr>
          <w:b/>
          <w:sz w:val="22"/>
          <w:szCs w:val="22"/>
        </w:rPr>
        <w:t>: Indicator</w:t>
      </w:r>
      <w:r w:rsidR="00B0543A" w:rsidRPr="00DC6E8B">
        <w:rPr>
          <w:b/>
          <w:sz w:val="22"/>
          <w:szCs w:val="22"/>
        </w:rPr>
        <w:t xml:space="preserve"> 1 – Percentage of staff in Agenda for Change</w:t>
      </w:r>
      <w:r w:rsidR="00574BB8" w:rsidRPr="00DC6E8B">
        <w:rPr>
          <w:b/>
          <w:sz w:val="22"/>
          <w:szCs w:val="22"/>
        </w:rPr>
        <w:t xml:space="preserve"> pay bands, </w:t>
      </w:r>
      <w:r w:rsidR="00B0543A" w:rsidRPr="00DC6E8B">
        <w:rPr>
          <w:b/>
          <w:sz w:val="22"/>
          <w:szCs w:val="22"/>
        </w:rPr>
        <w:t xml:space="preserve">VSM </w:t>
      </w:r>
      <w:r w:rsidR="00574BB8" w:rsidRPr="00DC6E8B">
        <w:rPr>
          <w:b/>
          <w:sz w:val="22"/>
          <w:szCs w:val="22"/>
        </w:rPr>
        <w:t xml:space="preserve">and Medical and Dental grades </w:t>
      </w:r>
      <w:r w:rsidR="0051554B" w:rsidRPr="00DC6E8B">
        <w:rPr>
          <w:b/>
          <w:sz w:val="22"/>
          <w:szCs w:val="22"/>
        </w:rPr>
        <w:t>by disability status</w:t>
      </w:r>
      <w:r w:rsidR="00DC6E8B" w:rsidRPr="00DC6E8B">
        <w:rPr>
          <w:b/>
          <w:sz w:val="22"/>
          <w:szCs w:val="22"/>
        </w:rPr>
        <w:t xml:space="preserve"> as at </w:t>
      </w:r>
      <w:r w:rsidR="00F72155">
        <w:rPr>
          <w:b/>
          <w:sz w:val="22"/>
          <w:szCs w:val="22"/>
        </w:rPr>
        <w:t>3</w:t>
      </w:r>
      <w:r w:rsidR="00DC6E8B" w:rsidRPr="00DC6E8B">
        <w:rPr>
          <w:b/>
          <w:sz w:val="22"/>
          <w:szCs w:val="22"/>
        </w:rPr>
        <w:t>1 March 20</w:t>
      </w:r>
      <w:r w:rsidR="00F72155">
        <w:rPr>
          <w:b/>
          <w:sz w:val="22"/>
          <w:szCs w:val="22"/>
        </w:rPr>
        <w:t>20</w:t>
      </w:r>
      <w:r w:rsidR="003928DA">
        <w:rPr>
          <w:b/>
          <w:sz w:val="22"/>
          <w:szCs w:val="22"/>
        </w:rPr>
        <w:t xml:space="preserve"> </w:t>
      </w:r>
    </w:p>
    <w:tbl>
      <w:tblPr>
        <w:tblStyle w:val="TableGrid"/>
        <w:tblW w:w="0" w:type="auto"/>
        <w:tblLook w:val="04A0" w:firstRow="1" w:lastRow="0" w:firstColumn="1" w:lastColumn="0" w:noHBand="0" w:noVBand="1"/>
      </w:tblPr>
      <w:tblGrid>
        <w:gridCol w:w="1461"/>
        <w:gridCol w:w="1121"/>
        <w:gridCol w:w="1354"/>
        <w:gridCol w:w="1086"/>
        <w:gridCol w:w="1354"/>
        <w:gridCol w:w="1223"/>
        <w:gridCol w:w="1473"/>
      </w:tblGrid>
      <w:tr w:rsidR="00EC4DA9" w:rsidRPr="00715A5C" w:rsidTr="003B775F">
        <w:trPr>
          <w:trHeight w:val="288"/>
        </w:trPr>
        <w:tc>
          <w:tcPr>
            <w:tcW w:w="1295" w:type="dxa"/>
            <w:noWrap/>
            <w:hideMark/>
          </w:tcPr>
          <w:p w:rsidR="00EC4DA9" w:rsidRPr="00715A5C" w:rsidRDefault="00EC4DA9" w:rsidP="00715A5C">
            <w:pPr>
              <w:rPr>
                <w:b/>
                <w:bCs/>
              </w:rPr>
            </w:pPr>
          </w:p>
        </w:tc>
        <w:tc>
          <w:tcPr>
            <w:tcW w:w="1079" w:type="dxa"/>
            <w:noWrap/>
            <w:hideMark/>
          </w:tcPr>
          <w:p w:rsidR="00EC4DA9" w:rsidRPr="00021072" w:rsidRDefault="00EC4DA9" w:rsidP="00021072">
            <w:pPr>
              <w:jc w:val="center"/>
              <w:rPr>
                <w:b/>
                <w:bCs/>
                <w:sz w:val="20"/>
                <w:szCs w:val="20"/>
              </w:rPr>
            </w:pPr>
            <w:r w:rsidRPr="00021072">
              <w:rPr>
                <w:b/>
                <w:bCs/>
                <w:sz w:val="20"/>
                <w:szCs w:val="20"/>
              </w:rPr>
              <w:t>Disabled</w:t>
            </w:r>
          </w:p>
        </w:tc>
        <w:tc>
          <w:tcPr>
            <w:tcW w:w="1301" w:type="dxa"/>
            <w:noWrap/>
            <w:hideMark/>
          </w:tcPr>
          <w:p w:rsidR="00EC4DA9" w:rsidRPr="00021072" w:rsidRDefault="00EC4DA9" w:rsidP="00021072">
            <w:pPr>
              <w:jc w:val="center"/>
              <w:rPr>
                <w:b/>
                <w:bCs/>
                <w:sz w:val="20"/>
                <w:szCs w:val="20"/>
              </w:rPr>
            </w:pPr>
            <w:r w:rsidRPr="00021072">
              <w:rPr>
                <w:b/>
                <w:bCs/>
                <w:sz w:val="20"/>
                <w:szCs w:val="20"/>
              </w:rPr>
              <w:t>% DISABLED</w:t>
            </w:r>
          </w:p>
        </w:tc>
        <w:tc>
          <w:tcPr>
            <w:tcW w:w="1046" w:type="dxa"/>
            <w:noWrap/>
            <w:hideMark/>
          </w:tcPr>
          <w:p w:rsidR="00EC4DA9" w:rsidRPr="00021072" w:rsidRDefault="00EC4DA9" w:rsidP="00021072">
            <w:pPr>
              <w:jc w:val="center"/>
              <w:rPr>
                <w:b/>
                <w:bCs/>
                <w:sz w:val="20"/>
                <w:szCs w:val="20"/>
              </w:rPr>
            </w:pPr>
            <w:r w:rsidRPr="00021072">
              <w:rPr>
                <w:b/>
                <w:bCs/>
                <w:sz w:val="20"/>
                <w:szCs w:val="20"/>
              </w:rPr>
              <w:t>Non-disabled</w:t>
            </w:r>
          </w:p>
        </w:tc>
        <w:tc>
          <w:tcPr>
            <w:tcW w:w="1301" w:type="dxa"/>
            <w:noWrap/>
            <w:hideMark/>
          </w:tcPr>
          <w:p w:rsidR="00EC4DA9" w:rsidRPr="00021072" w:rsidRDefault="00EC4DA9" w:rsidP="00021072">
            <w:pPr>
              <w:jc w:val="center"/>
              <w:rPr>
                <w:b/>
                <w:bCs/>
                <w:sz w:val="20"/>
                <w:szCs w:val="20"/>
              </w:rPr>
            </w:pPr>
            <w:r w:rsidRPr="00021072">
              <w:rPr>
                <w:b/>
                <w:bCs/>
                <w:sz w:val="20"/>
                <w:szCs w:val="20"/>
              </w:rPr>
              <w:t>% NON-DISABLED</w:t>
            </w:r>
          </w:p>
        </w:tc>
        <w:tc>
          <w:tcPr>
            <w:tcW w:w="1177" w:type="dxa"/>
            <w:noWrap/>
            <w:hideMark/>
          </w:tcPr>
          <w:p w:rsidR="00EC4DA9" w:rsidRPr="00021072" w:rsidRDefault="00EC4DA9" w:rsidP="00021072">
            <w:pPr>
              <w:jc w:val="center"/>
              <w:rPr>
                <w:b/>
                <w:bCs/>
                <w:sz w:val="20"/>
                <w:szCs w:val="20"/>
              </w:rPr>
            </w:pPr>
            <w:r w:rsidRPr="00021072">
              <w:rPr>
                <w:b/>
                <w:bCs/>
                <w:sz w:val="20"/>
                <w:szCs w:val="20"/>
              </w:rPr>
              <w:t>Unknown</w:t>
            </w:r>
          </w:p>
        </w:tc>
        <w:tc>
          <w:tcPr>
            <w:tcW w:w="1473" w:type="dxa"/>
            <w:noWrap/>
            <w:hideMark/>
          </w:tcPr>
          <w:p w:rsidR="00EC4DA9" w:rsidRPr="00021072" w:rsidRDefault="00EC4DA9" w:rsidP="00021072">
            <w:pPr>
              <w:jc w:val="center"/>
              <w:rPr>
                <w:b/>
                <w:bCs/>
                <w:sz w:val="20"/>
                <w:szCs w:val="20"/>
              </w:rPr>
            </w:pPr>
            <w:r w:rsidRPr="00021072">
              <w:rPr>
                <w:b/>
                <w:bCs/>
                <w:sz w:val="20"/>
                <w:szCs w:val="20"/>
              </w:rPr>
              <w:t>% UNKNOWN</w:t>
            </w:r>
          </w:p>
        </w:tc>
      </w:tr>
      <w:tr w:rsidR="00EC4DA9" w:rsidRPr="00715A5C" w:rsidTr="003B775F">
        <w:trPr>
          <w:trHeight w:val="288"/>
        </w:trPr>
        <w:tc>
          <w:tcPr>
            <w:tcW w:w="1295" w:type="dxa"/>
            <w:noWrap/>
            <w:hideMark/>
          </w:tcPr>
          <w:p w:rsidR="00EC4DA9" w:rsidRPr="000F435C" w:rsidRDefault="00EC4DA9">
            <w:r w:rsidRPr="000F435C">
              <w:t>Cluster 1</w:t>
            </w:r>
            <w:r>
              <w:t xml:space="preserve"> Band 1-4</w:t>
            </w:r>
          </w:p>
        </w:tc>
        <w:tc>
          <w:tcPr>
            <w:tcW w:w="1079" w:type="dxa"/>
            <w:noWrap/>
            <w:hideMark/>
          </w:tcPr>
          <w:p w:rsidR="00EC4DA9" w:rsidRPr="00895681" w:rsidRDefault="00EC4DA9" w:rsidP="00895681">
            <w:pPr>
              <w:jc w:val="center"/>
            </w:pPr>
            <w:r w:rsidRPr="00895681">
              <w:t>44</w:t>
            </w:r>
          </w:p>
        </w:tc>
        <w:tc>
          <w:tcPr>
            <w:tcW w:w="1301" w:type="dxa"/>
            <w:noWrap/>
            <w:hideMark/>
          </w:tcPr>
          <w:p w:rsidR="00EC4DA9" w:rsidRPr="00021072" w:rsidRDefault="00EC4DA9">
            <w:r w:rsidRPr="00715A5C">
              <w:rPr>
                <w:b/>
                <w:bCs/>
              </w:rPr>
              <w:t> </w:t>
            </w:r>
            <w:r w:rsidRPr="00021072">
              <w:t>3.9%</w:t>
            </w:r>
          </w:p>
        </w:tc>
        <w:tc>
          <w:tcPr>
            <w:tcW w:w="1046" w:type="dxa"/>
            <w:noWrap/>
            <w:hideMark/>
          </w:tcPr>
          <w:p w:rsidR="00EC4DA9" w:rsidRPr="00EC4DA9" w:rsidRDefault="00EC4DA9">
            <w:r w:rsidRPr="00EC4DA9">
              <w:t> 1012</w:t>
            </w:r>
          </w:p>
        </w:tc>
        <w:tc>
          <w:tcPr>
            <w:tcW w:w="1301" w:type="dxa"/>
            <w:noWrap/>
            <w:hideMark/>
          </w:tcPr>
          <w:p w:rsidR="00EC4DA9" w:rsidRPr="00EC4DA9" w:rsidRDefault="00EC4DA9">
            <w:r w:rsidRPr="00EC4DA9">
              <w:t> </w:t>
            </w:r>
            <w:r>
              <w:t>89.9%</w:t>
            </w:r>
          </w:p>
        </w:tc>
        <w:tc>
          <w:tcPr>
            <w:tcW w:w="1177" w:type="dxa"/>
            <w:noWrap/>
            <w:hideMark/>
          </w:tcPr>
          <w:p w:rsidR="00EC4DA9" w:rsidRPr="00EC4DA9" w:rsidRDefault="00EC4DA9">
            <w:r w:rsidRPr="00EC4DA9">
              <w:t> 70</w:t>
            </w:r>
          </w:p>
        </w:tc>
        <w:tc>
          <w:tcPr>
            <w:tcW w:w="1473" w:type="dxa"/>
            <w:noWrap/>
            <w:hideMark/>
          </w:tcPr>
          <w:p w:rsidR="00EC4DA9" w:rsidRPr="00021072" w:rsidRDefault="00EC4DA9">
            <w:r w:rsidRPr="00021072">
              <w:t> 6%</w:t>
            </w:r>
          </w:p>
        </w:tc>
      </w:tr>
      <w:tr w:rsidR="00EC4DA9" w:rsidRPr="00715A5C" w:rsidTr="003B775F">
        <w:trPr>
          <w:trHeight w:val="288"/>
        </w:trPr>
        <w:tc>
          <w:tcPr>
            <w:tcW w:w="1295" w:type="dxa"/>
            <w:noWrap/>
            <w:hideMark/>
          </w:tcPr>
          <w:p w:rsidR="00EC4DA9" w:rsidRPr="00715A5C" w:rsidRDefault="00EC4DA9" w:rsidP="00715A5C">
            <w:r>
              <w:t>Cluster 2 Band 5-7</w:t>
            </w:r>
          </w:p>
        </w:tc>
        <w:tc>
          <w:tcPr>
            <w:tcW w:w="1079" w:type="dxa"/>
            <w:noWrap/>
            <w:hideMark/>
          </w:tcPr>
          <w:p w:rsidR="00EC4DA9" w:rsidRPr="00715A5C" w:rsidRDefault="00EC4DA9" w:rsidP="00895681">
            <w:pPr>
              <w:jc w:val="center"/>
            </w:pPr>
            <w:r>
              <w:t>68</w:t>
            </w:r>
          </w:p>
        </w:tc>
        <w:tc>
          <w:tcPr>
            <w:tcW w:w="1301" w:type="dxa"/>
            <w:noWrap/>
            <w:hideMark/>
          </w:tcPr>
          <w:p w:rsidR="00EC4DA9" w:rsidRPr="00715A5C" w:rsidRDefault="00EC4DA9" w:rsidP="00715A5C">
            <w:r>
              <w:t>3.4%</w:t>
            </w:r>
          </w:p>
        </w:tc>
        <w:tc>
          <w:tcPr>
            <w:tcW w:w="1046" w:type="dxa"/>
            <w:noWrap/>
            <w:hideMark/>
          </w:tcPr>
          <w:p w:rsidR="00EC4DA9" w:rsidRPr="00715A5C" w:rsidRDefault="00EC4DA9" w:rsidP="00715A5C">
            <w:r>
              <w:t>1843</w:t>
            </w:r>
          </w:p>
        </w:tc>
        <w:tc>
          <w:tcPr>
            <w:tcW w:w="1301" w:type="dxa"/>
            <w:noWrap/>
            <w:hideMark/>
          </w:tcPr>
          <w:p w:rsidR="00EC4DA9" w:rsidRPr="00715A5C" w:rsidRDefault="00EC4DA9" w:rsidP="00715A5C">
            <w:r>
              <w:t>92.7%</w:t>
            </w:r>
          </w:p>
        </w:tc>
        <w:tc>
          <w:tcPr>
            <w:tcW w:w="1177" w:type="dxa"/>
            <w:noWrap/>
            <w:hideMark/>
          </w:tcPr>
          <w:p w:rsidR="00EC4DA9" w:rsidRPr="00715A5C" w:rsidRDefault="00EC4DA9" w:rsidP="00715A5C">
            <w:r>
              <w:t>77</w:t>
            </w:r>
          </w:p>
        </w:tc>
        <w:tc>
          <w:tcPr>
            <w:tcW w:w="1473" w:type="dxa"/>
            <w:noWrap/>
            <w:hideMark/>
          </w:tcPr>
          <w:p w:rsidR="00EC4DA9" w:rsidRPr="00715A5C" w:rsidRDefault="00EC4DA9" w:rsidP="00715A5C">
            <w:r>
              <w:t>3.9%</w:t>
            </w:r>
          </w:p>
        </w:tc>
      </w:tr>
      <w:tr w:rsidR="00EC4DA9" w:rsidRPr="00715A5C" w:rsidTr="003B775F">
        <w:trPr>
          <w:trHeight w:val="288"/>
        </w:trPr>
        <w:tc>
          <w:tcPr>
            <w:tcW w:w="1295" w:type="dxa"/>
            <w:noWrap/>
            <w:hideMark/>
          </w:tcPr>
          <w:p w:rsidR="00EC4DA9" w:rsidRPr="00715A5C" w:rsidRDefault="00EC4DA9" w:rsidP="00715A5C">
            <w:r>
              <w:t>Cluster 3 Band 8a – 8b</w:t>
            </w:r>
          </w:p>
        </w:tc>
        <w:tc>
          <w:tcPr>
            <w:tcW w:w="1079" w:type="dxa"/>
            <w:noWrap/>
            <w:hideMark/>
          </w:tcPr>
          <w:p w:rsidR="00EC4DA9" w:rsidRPr="00715A5C" w:rsidRDefault="00EC4DA9" w:rsidP="00895681">
            <w:pPr>
              <w:jc w:val="center"/>
            </w:pPr>
            <w:r>
              <w:t>9</w:t>
            </w:r>
          </w:p>
        </w:tc>
        <w:tc>
          <w:tcPr>
            <w:tcW w:w="1301" w:type="dxa"/>
            <w:noWrap/>
            <w:hideMark/>
          </w:tcPr>
          <w:p w:rsidR="00EC4DA9" w:rsidRPr="00715A5C" w:rsidRDefault="00EC4DA9" w:rsidP="00715A5C">
            <w:r>
              <w:t>2.2%</w:t>
            </w:r>
          </w:p>
        </w:tc>
        <w:tc>
          <w:tcPr>
            <w:tcW w:w="1046" w:type="dxa"/>
            <w:noWrap/>
            <w:hideMark/>
          </w:tcPr>
          <w:p w:rsidR="00EC4DA9" w:rsidRPr="00715A5C" w:rsidRDefault="00EC4DA9" w:rsidP="00715A5C">
            <w:r>
              <w:t>397</w:t>
            </w:r>
          </w:p>
        </w:tc>
        <w:tc>
          <w:tcPr>
            <w:tcW w:w="1301" w:type="dxa"/>
            <w:noWrap/>
            <w:hideMark/>
          </w:tcPr>
          <w:p w:rsidR="00EC4DA9" w:rsidRPr="00715A5C" w:rsidRDefault="00EC4DA9" w:rsidP="00715A5C">
            <w:r>
              <w:t>95.2%</w:t>
            </w:r>
          </w:p>
        </w:tc>
        <w:tc>
          <w:tcPr>
            <w:tcW w:w="1177" w:type="dxa"/>
            <w:noWrap/>
            <w:hideMark/>
          </w:tcPr>
          <w:p w:rsidR="00EC4DA9" w:rsidRPr="00715A5C" w:rsidRDefault="00EC4DA9" w:rsidP="00715A5C">
            <w:r>
              <w:t>11</w:t>
            </w:r>
          </w:p>
        </w:tc>
        <w:tc>
          <w:tcPr>
            <w:tcW w:w="1473" w:type="dxa"/>
            <w:noWrap/>
            <w:hideMark/>
          </w:tcPr>
          <w:p w:rsidR="00EC4DA9" w:rsidRPr="00715A5C" w:rsidRDefault="00EC4DA9" w:rsidP="00715A5C">
            <w:r>
              <w:t>2.6%</w:t>
            </w:r>
          </w:p>
        </w:tc>
      </w:tr>
      <w:tr w:rsidR="00EC4DA9" w:rsidRPr="00715A5C" w:rsidTr="003B775F">
        <w:trPr>
          <w:trHeight w:val="288"/>
        </w:trPr>
        <w:tc>
          <w:tcPr>
            <w:tcW w:w="1295" w:type="dxa"/>
            <w:noWrap/>
            <w:hideMark/>
          </w:tcPr>
          <w:p w:rsidR="00EC4DA9" w:rsidRPr="00715A5C" w:rsidRDefault="00EC4DA9" w:rsidP="00715A5C">
            <w:r>
              <w:t>Cluster 4 Band 8c – 9 VSM</w:t>
            </w:r>
          </w:p>
        </w:tc>
        <w:tc>
          <w:tcPr>
            <w:tcW w:w="1079" w:type="dxa"/>
            <w:noWrap/>
            <w:hideMark/>
          </w:tcPr>
          <w:p w:rsidR="00EC4DA9" w:rsidRPr="00715A5C" w:rsidRDefault="00EC4DA9" w:rsidP="00895681">
            <w:pPr>
              <w:jc w:val="center"/>
            </w:pPr>
            <w:r>
              <w:t>1</w:t>
            </w:r>
          </w:p>
        </w:tc>
        <w:tc>
          <w:tcPr>
            <w:tcW w:w="1301" w:type="dxa"/>
            <w:noWrap/>
            <w:hideMark/>
          </w:tcPr>
          <w:p w:rsidR="00EC4DA9" w:rsidRPr="00715A5C" w:rsidRDefault="00EC4DA9" w:rsidP="00715A5C">
            <w:r>
              <w:t>1%</w:t>
            </w:r>
          </w:p>
        </w:tc>
        <w:tc>
          <w:tcPr>
            <w:tcW w:w="1046" w:type="dxa"/>
            <w:noWrap/>
            <w:hideMark/>
          </w:tcPr>
          <w:p w:rsidR="00EC4DA9" w:rsidRPr="00715A5C" w:rsidRDefault="00EC4DA9" w:rsidP="00715A5C">
            <w:r>
              <w:t>110</w:t>
            </w:r>
          </w:p>
        </w:tc>
        <w:tc>
          <w:tcPr>
            <w:tcW w:w="1301" w:type="dxa"/>
            <w:noWrap/>
            <w:hideMark/>
          </w:tcPr>
          <w:p w:rsidR="00EC4DA9" w:rsidRPr="00715A5C" w:rsidRDefault="00EC4DA9" w:rsidP="00715A5C">
            <w:r>
              <w:t>93%</w:t>
            </w:r>
          </w:p>
        </w:tc>
        <w:tc>
          <w:tcPr>
            <w:tcW w:w="1177" w:type="dxa"/>
            <w:noWrap/>
            <w:hideMark/>
          </w:tcPr>
          <w:p w:rsidR="00EC4DA9" w:rsidRPr="00715A5C" w:rsidRDefault="00EC4DA9" w:rsidP="00715A5C">
            <w:r>
              <w:t>7</w:t>
            </w:r>
          </w:p>
        </w:tc>
        <w:tc>
          <w:tcPr>
            <w:tcW w:w="1473" w:type="dxa"/>
            <w:noWrap/>
            <w:hideMark/>
          </w:tcPr>
          <w:p w:rsidR="00EC4DA9" w:rsidRPr="00715A5C" w:rsidRDefault="00EC4DA9" w:rsidP="00715A5C">
            <w:r>
              <w:t>6%</w:t>
            </w:r>
          </w:p>
        </w:tc>
      </w:tr>
      <w:tr w:rsidR="00EC4DA9" w:rsidRPr="00715A5C" w:rsidTr="003B775F">
        <w:trPr>
          <w:trHeight w:val="288"/>
        </w:trPr>
        <w:tc>
          <w:tcPr>
            <w:tcW w:w="1295" w:type="dxa"/>
            <w:noWrap/>
            <w:hideMark/>
          </w:tcPr>
          <w:p w:rsidR="00EC4DA9" w:rsidRPr="00715A5C" w:rsidRDefault="00EC4DA9" w:rsidP="00715A5C">
            <w:r>
              <w:t>Cluster 5 (M&amp;D Consultants)</w:t>
            </w:r>
          </w:p>
        </w:tc>
        <w:tc>
          <w:tcPr>
            <w:tcW w:w="1079" w:type="dxa"/>
            <w:noWrap/>
            <w:hideMark/>
          </w:tcPr>
          <w:p w:rsidR="00EC4DA9" w:rsidRPr="00715A5C" w:rsidRDefault="00EC4DA9" w:rsidP="00895681">
            <w:pPr>
              <w:jc w:val="center"/>
            </w:pPr>
            <w:r>
              <w:t>4</w:t>
            </w:r>
          </w:p>
        </w:tc>
        <w:tc>
          <w:tcPr>
            <w:tcW w:w="1301" w:type="dxa"/>
            <w:noWrap/>
            <w:hideMark/>
          </w:tcPr>
          <w:p w:rsidR="00EC4DA9" w:rsidRPr="00715A5C" w:rsidRDefault="00EC4DA9" w:rsidP="00AD7300">
            <w:pPr>
              <w:tabs>
                <w:tab w:val="left" w:pos="996"/>
              </w:tabs>
            </w:pPr>
            <w:r>
              <w:t>2%</w:t>
            </w:r>
          </w:p>
        </w:tc>
        <w:tc>
          <w:tcPr>
            <w:tcW w:w="1046" w:type="dxa"/>
            <w:noWrap/>
            <w:hideMark/>
          </w:tcPr>
          <w:p w:rsidR="00EC4DA9" w:rsidRPr="00715A5C" w:rsidRDefault="00EC4DA9" w:rsidP="00715A5C">
            <w:r>
              <w:t>168</w:t>
            </w:r>
          </w:p>
        </w:tc>
        <w:tc>
          <w:tcPr>
            <w:tcW w:w="1301" w:type="dxa"/>
            <w:noWrap/>
            <w:hideMark/>
          </w:tcPr>
          <w:p w:rsidR="00EC4DA9" w:rsidRPr="00715A5C" w:rsidRDefault="00EC4DA9" w:rsidP="00715A5C">
            <w:r>
              <w:t>81%</w:t>
            </w:r>
          </w:p>
        </w:tc>
        <w:tc>
          <w:tcPr>
            <w:tcW w:w="1177" w:type="dxa"/>
            <w:noWrap/>
            <w:hideMark/>
          </w:tcPr>
          <w:p w:rsidR="00EC4DA9" w:rsidRPr="00715A5C" w:rsidRDefault="00EC4DA9" w:rsidP="00715A5C">
            <w:r>
              <w:t>35</w:t>
            </w:r>
          </w:p>
        </w:tc>
        <w:tc>
          <w:tcPr>
            <w:tcW w:w="1473" w:type="dxa"/>
            <w:noWrap/>
            <w:hideMark/>
          </w:tcPr>
          <w:p w:rsidR="00EC4DA9" w:rsidRPr="00715A5C" w:rsidRDefault="00EC4DA9" w:rsidP="00715A5C">
            <w:r>
              <w:t>17%</w:t>
            </w:r>
          </w:p>
        </w:tc>
      </w:tr>
      <w:tr w:rsidR="00EC4DA9" w:rsidRPr="00715A5C" w:rsidTr="003B775F">
        <w:trPr>
          <w:trHeight w:val="288"/>
        </w:trPr>
        <w:tc>
          <w:tcPr>
            <w:tcW w:w="1295" w:type="dxa"/>
            <w:noWrap/>
            <w:hideMark/>
          </w:tcPr>
          <w:p w:rsidR="00EC4DA9" w:rsidRPr="00715A5C" w:rsidRDefault="00EC4DA9" w:rsidP="00715A5C">
            <w:r>
              <w:t>Cluster 6 No career grade M&amp;D</w:t>
            </w:r>
          </w:p>
        </w:tc>
        <w:tc>
          <w:tcPr>
            <w:tcW w:w="1079" w:type="dxa"/>
            <w:noWrap/>
            <w:hideMark/>
          </w:tcPr>
          <w:p w:rsidR="00EC4DA9" w:rsidRPr="00715A5C" w:rsidRDefault="00EC4DA9" w:rsidP="00895681">
            <w:pPr>
              <w:jc w:val="center"/>
            </w:pPr>
            <w:r>
              <w:t>0</w:t>
            </w:r>
          </w:p>
        </w:tc>
        <w:tc>
          <w:tcPr>
            <w:tcW w:w="1301" w:type="dxa"/>
            <w:noWrap/>
            <w:hideMark/>
          </w:tcPr>
          <w:p w:rsidR="00EC4DA9" w:rsidRPr="00715A5C" w:rsidRDefault="00EC4DA9" w:rsidP="00715A5C">
            <w:r>
              <w:t>0%</w:t>
            </w:r>
          </w:p>
        </w:tc>
        <w:tc>
          <w:tcPr>
            <w:tcW w:w="1046" w:type="dxa"/>
            <w:noWrap/>
            <w:hideMark/>
          </w:tcPr>
          <w:p w:rsidR="00EC4DA9" w:rsidRPr="00715A5C" w:rsidRDefault="00EC4DA9" w:rsidP="00715A5C">
            <w:r>
              <w:t>17</w:t>
            </w:r>
          </w:p>
        </w:tc>
        <w:tc>
          <w:tcPr>
            <w:tcW w:w="1301" w:type="dxa"/>
            <w:noWrap/>
            <w:hideMark/>
          </w:tcPr>
          <w:p w:rsidR="00EC4DA9" w:rsidRPr="00715A5C" w:rsidRDefault="00EC4DA9" w:rsidP="00715A5C">
            <w:r>
              <w:t>74%</w:t>
            </w:r>
          </w:p>
        </w:tc>
        <w:tc>
          <w:tcPr>
            <w:tcW w:w="1177" w:type="dxa"/>
            <w:noWrap/>
            <w:hideMark/>
          </w:tcPr>
          <w:p w:rsidR="00EC4DA9" w:rsidRPr="00715A5C" w:rsidRDefault="00EC4DA9" w:rsidP="00715A5C">
            <w:r>
              <w:t>6</w:t>
            </w:r>
          </w:p>
        </w:tc>
        <w:tc>
          <w:tcPr>
            <w:tcW w:w="1473" w:type="dxa"/>
            <w:noWrap/>
            <w:hideMark/>
          </w:tcPr>
          <w:p w:rsidR="00EC4DA9" w:rsidRPr="00715A5C" w:rsidRDefault="00EC4DA9" w:rsidP="00715A5C">
            <w:r>
              <w:t>26%</w:t>
            </w:r>
          </w:p>
        </w:tc>
      </w:tr>
      <w:tr w:rsidR="00EC4DA9" w:rsidRPr="00715A5C" w:rsidTr="003B775F">
        <w:trPr>
          <w:trHeight w:val="288"/>
        </w:trPr>
        <w:tc>
          <w:tcPr>
            <w:tcW w:w="1295" w:type="dxa"/>
            <w:noWrap/>
            <w:hideMark/>
          </w:tcPr>
          <w:p w:rsidR="00EC4DA9" w:rsidRPr="00715A5C" w:rsidRDefault="00EC4DA9" w:rsidP="00715A5C">
            <w:r>
              <w:t>Cluster 7 M&amp;D trainees</w:t>
            </w:r>
          </w:p>
        </w:tc>
        <w:tc>
          <w:tcPr>
            <w:tcW w:w="1079" w:type="dxa"/>
            <w:noWrap/>
            <w:hideMark/>
          </w:tcPr>
          <w:p w:rsidR="00EC4DA9" w:rsidRPr="00715A5C" w:rsidRDefault="00EC4DA9" w:rsidP="00895681">
            <w:pPr>
              <w:jc w:val="center"/>
            </w:pPr>
            <w:r>
              <w:t>3</w:t>
            </w:r>
          </w:p>
        </w:tc>
        <w:tc>
          <w:tcPr>
            <w:tcW w:w="1301" w:type="dxa"/>
            <w:noWrap/>
            <w:hideMark/>
          </w:tcPr>
          <w:p w:rsidR="00EC4DA9" w:rsidRPr="00715A5C" w:rsidRDefault="003A5BAC" w:rsidP="00715A5C">
            <w:r>
              <w:t>1.2%</w:t>
            </w:r>
          </w:p>
        </w:tc>
        <w:tc>
          <w:tcPr>
            <w:tcW w:w="1046" w:type="dxa"/>
            <w:noWrap/>
            <w:hideMark/>
          </w:tcPr>
          <w:p w:rsidR="00EC4DA9" w:rsidRPr="00715A5C" w:rsidRDefault="00EC4DA9" w:rsidP="00715A5C">
            <w:r>
              <w:t>226</w:t>
            </w:r>
          </w:p>
        </w:tc>
        <w:tc>
          <w:tcPr>
            <w:tcW w:w="1301" w:type="dxa"/>
            <w:noWrap/>
            <w:hideMark/>
          </w:tcPr>
          <w:p w:rsidR="00EC4DA9" w:rsidRPr="00715A5C" w:rsidRDefault="003A5BAC" w:rsidP="00715A5C">
            <w:r>
              <w:t>90%</w:t>
            </w:r>
          </w:p>
        </w:tc>
        <w:tc>
          <w:tcPr>
            <w:tcW w:w="1177" w:type="dxa"/>
            <w:noWrap/>
            <w:hideMark/>
          </w:tcPr>
          <w:p w:rsidR="00EC4DA9" w:rsidRPr="00715A5C" w:rsidRDefault="00EC4DA9" w:rsidP="00715A5C">
            <w:r>
              <w:t>22</w:t>
            </w:r>
          </w:p>
        </w:tc>
        <w:tc>
          <w:tcPr>
            <w:tcW w:w="1473" w:type="dxa"/>
            <w:noWrap/>
            <w:hideMark/>
          </w:tcPr>
          <w:p w:rsidR="00EC4DA9" w:rsidRPr="00715A5C" w:rsidRDefault="003A5BAC" w:rsidP="00715A5C">
            <w:r>
              <w:t>8.8%</w:t>
            </w:r>
          </w:p>
        </w:tc>
      </w:tr>
      <w:tr w:rsidR="00EC4DA9" w:rsidRPr="00715A5C" w:rsidTr="003B775F">
        <w:trPr>
          <w:trHeight w:val="288"/>
        </w:trPr>
        <w:tc>
          <w:tcPr>
            <w:tcW w:w="1295" w:type="dxa"/>
            <w:noWrap/>
            <w:hideMark/>
          </w:tcPr>
          <w:p w:rsidR="00EC4DA9" w:rsidRPr="00715A5C" w:rsidRDefault="00EC4DA9">
            <w:pPr>
              <w:rPr>
                <w:b/>
                <w:bCs/>
              </w:rPr>
            </w:pPr>
            <w:r w:rsidRPr="00715A5C">
              <w:rPr>
                <w:b/>
                <w:bCs/>
              </w:rPr>
              <w:t>Grand Total</w:t>
            </w:r>
          </w:p>
        </w:tc>
        <w:tc>
          <w:tcPr>
            <w:tcW w:w="1079" w:type="dxa"/>
            <w:noWrap/>
            <w:hideMark/>
          </w:tcPr>
          <w:p w:rsidR="00EC4DA9" w:rsidRPr="00715A5C" w:rsidRDefault="00EC4DA9" w:rsidP="00715A5C">
            <w:pPr>
              <w:rPr>
                <w:b/>
                <w:bCs/>
              </w:rPr>
            </w:pPr>
            <w:r w:rsidRPr="00715A5C">
              <w:rPr>
                <w:b/>
                <w:bCs/>
              </w:rPr>
              <w:t>129</w:t>
            </w:r>
          </w:p>
        </w:tc>
        <w:tc>
          <w:tcPr>
            <w:tcW w:w="1301" w:type="dxa"/>
            <w:noWrap/>
            <w:hideMark/>
          </w:tcPr>
          <w:p w:rsidR="00EC4DA9" w:rsidRPr="00715A5C" w:rsidRDefault="00EC4DA9" w:rsidP="00715A5C">
            <w:pPr>
              <w:rPr>
                <w:b/>
                <w:bCs/>
              </w:rPr>
            </w:pPr>
            <w:r w:rsidRPr="00715A5C">
              <w:rPr>
                <w:b/>
                <w:bCs/>
              </w:rPr>
              <w:t>3%</w:t>
            </w:r>
          </w:p>
        </w:tc>
        <w:tc>
          <w:tcPr>
            <w:tcW w:w="1046" w:type="dxa"/>
            <w:noWrap/>
            <w:hideMark/>
          </w:tcPr>
          <w:p w:rsidR="00EC4DA9" w:rsidRPr="00715A5C" w:rsidRDefault="00EC4DA9" w:rsidP="00715A5C">
            <w:pPr>
              <w:rPr>
                <w:b/>
                <w:bCs/>
              </w:rPr>
            </w:pPr>
            <w:r w:rsidRPr="00715A5C">
              <w:rPr>
                <w:b/>
                <w:bCs/>
              </w:rPr>
              <w:t>3773</w:t>
            </w:r>
          </w:p>
        </w:tc>
        <w:tc>
          <w:tcPr>
            <w:tcW w:w="1301" w:type="dxa"/>
            <w:noWrap/>
            <w:hideMark/>
          </w:tcPr>
          <w:p w:rsidR="00EC4DA9" w:rsidRPr="00715A5C" w:rsidRDefault="00EC4DA9" w:rsidP="00715A5C">
            <w:pPr>
              <w:rPr>
                <w:b/>
                <w:bCs/>
              </w:rPr>
            </w:pPr>
            <w:r w:rsidRPr="00715A5C">
              <w:rPr>
                <w:b/>
                <w:bCs/>
              </w:rPr>
              <w:t>91%</w:t>
            </w:r>
          </w:p>
        </w:tc>
        <w:tc>
          <w:tcPr>
            <w:tcW w:w="1177" w:type="dxa"/>
            <w:noWrap/>
            <w:hideMark/>
          </w:tcPr>
          <w:p w:rsidR="00EC4DA9" w:rsidRPr="00715A5C" w:rsidRDefault="00EC4DA9" w:rsidP="00715A5C">
            <w:pPr>
              <w:rPr>
                <w:b/>
                <w:bCs/>
              </w:rPr>
            </w:pPr>
            <w:r w:rsidRPr="00715A5C">
              <w:rPr>
                <w:b/>
                <w:bCs/>
              </w:rPr>
              <w:t>228</w:t>
            </w:r>
          </w:p>
        </w:tc>
        <w:tc>
          <w:tcPr>
            <w:tcW w:w="1473" w:type="dxa"/>
            <w:noWrap/>
            <w:hideMark/>
          </w:tcPr>
          <w:p w:rsidR="00EC4DA9" w:rsidRPr="00715A5C" w:rsidRDefault="00EC4DA9" w:rsidP="00715A5C">
            <w:pPr>
              <w:rPr>
                <w:b/>
                <w:bCs/>
              </w:rPr>
            </w:pPr>
            <w:r w:rsidRPr="00715A5C">
              <w:rPr>
                <w:b/>
                <w:bCs/>
              </w:rPr>
              <w:t>6%</w:t>
            </w:r>
          </w:p>
        </w:tc>
      </w:tr>
    </w:tbl>
    <w:p w:rsidR="00194A7A" w:rsidRPr="00194A7A" w:rsidRDefault="00194A7A" w:rsidP="00194A7A"/>
    <w:p w:rsidR="00620F9D" w:rsidRDefault="00620F9D" w:rsidP="00620F9D"/>
    <w:p w:rsidR="00620F9D" w:rsidRDefault="00620F9D" w:rsidP="00620F9D">
      <w:pPr>
        <w:sectPr w:rsidR="00620F9D" w:rsidSect="006C51FC">
          <w:pgSz w:w="11906" w:h="16838" w:code="9"/>
          <w:pgMar w:top="1440" w:right="851" w:bottom="1440" w:left="1758" w:header="709" w:footer="709" w:gutter="0"/>
          <w:cols w:space="708"/>
          <w:docGrid w:linePitch="360"/>
        </w:sectPr>
      </w:pPr>
    </w:p>
    <w:p w:rsidR="00620F9D" w:rsidRPr="00A447DC" w:rsidRDefault="00620F9D" w:rsidP="00620F9D"/>
    <w:sectPr w:rsidR="00620F9D" w:rsidRPr="00A447DC" w:rsidSect="006C51FC">
      <w:headerReference w:type="even" r:id="rId16"/>
      <w:headerReference w:type="default" r:id="rId17"/>
      <w:footerReference w:type="default" r:id="rId18"/>
      <w:headerReference w:type="first" r:id="rId19"/>
      <w:pgSz w:w="11906" w:h="16838" w:code="9"/>
      <w:pgMar w:top="1440" w:right="851" w:bottom="1440"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5C" w:rsidRDefault="00715A5C">
      <w:r>
        <w:separator/>
      </w:r>
    </w:p>
  </w:endnote>
  <w:endnote w:type="continuationSeparator" w:id="0">
    <w:p w:rsidR="00715A5C" w:rsidRDefault="0071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Default="00715A5C" w:rsidP="00620F9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15A5C" w:rsidRDefault="00715A5C" w:rsidP="00620F9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Default="00715A5C" w:rsidP="00620F9D">
    <w:pPr>
      <w:pStyle w:val="PCWhite"/>
    </w:pPr>
    <w:r>
      <w:rPr>
        <w:noProof/>
        <w:sz w:val="12"/>
        <w:szCs w:val="12"/>
      </w:rPr>
      <w:drawing>
        <wp:anchor distT="0" distB="0" distL="114300" distR="114300" simplePos="0" relativeHeight="251658240" behindDoc="0" locked="0" layoutInCell="1" allowOverlap="1">
          <wp:simplePos x="0" y="0"/>
          <wp:positionH relativeFrom="column">
            <wp:posOffset>-530225</wp:posOffset>
          </wp:positionH>
          <wp:positionV relativeFrom="paragraph">
            <wp:posOffset>-212090</wp:posOffset>
          </wp:positionV>
          <wp:extent cx="408305" cy="742315"/>
          <wp:effectExtent l="0" t="0" r="0" b="635"/>
          <wp:wrapNone/>
          <wp:docPr id="21" name="Picture 21" descr="Marsden_crest+NHS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sden_crest+NHS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7423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995945"/>
      <w:docPartObj>
        <w:docPartGallery w:val="Page Numbers (Bottom of Page)"/>
        <w:docPartUnique/>
      </w:docPartObj>
    </w:sdtPr>
    <w:sdtEndPr>
      <w:rPr>
        <w:noProof/>
      </w:rPr>
    </w:sdtEndPr>
    <w:sdtContent>
      <w:p w:rsidR="00715A5C" w:rsidRDefault="00715A5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715A5C" w:rsidRPr="002A5244" w:rsidRDefault="00715A5C" w:rsidP="00620F9D">
    <w:pPr>
      <w:pStyle w:val="PCFooter"/>
      <w:tabs>
        <w:tab w:val="clear" w:pos="4153"/>
        <w:tab w:val="center" w:pos="21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Pr="002A5244" w:rsidRDefault="00715A5C" w:rsidP="00620F9D">
    <w:pPr>
      <w:pStyle w:val="Footer"/>
      <w:framePr w:wrap="around" w:vAnchor="text" w:hAnchor="page" w:x="1781" w:y="-123"/>
      <w:rPr>
        <w:rStyle w:val="PageNumber"/>
        <w:sz w:val="16"/>
      </w:rPr>
    </w:pPr>
    <w:r w:rsidRPr="002A5244">
      <w:rPr>
        <w:rStyle w:val="PageNumber"/>
        <w:sz w:val="16"/>
      </w:rPr>
      <w:fldChar w:fldCharType="begin"/>
    </w:r>
    <w:r w:rsidRPr="002A5244">
      <w:rPr>
        <w:rStyle w:val="PageNumber"/>
        <w:sz w:val="16"/>
      </w:rPr>
      <w:instrText xml:space="preserve">PAGE  </w:instrText>
    </w:r>
    <w:r w:rsidRPr="002A5244">
      <w:rPr>
        <w:rStyle w:val="PageNumber"/>
        <w:sz w:val="16"/>
      </w:rPr>
      <w:fldChar w:fldCharType="separate"/>
    </w:r>
    <w:r>
      <w:rPr>
        <w:rStyle w:val="PageNumber"/>
        <w:noProof/>
        <w:sz w:val="16"/>
      </w:rPr>
      <w:t>10</w:t>
    </w:r>
    <w:r w:rsidRPr="002A5244">
      <w:rPr>
        <w:rStyle w:val="PageNumber"/>
        <w:sz w:val="16"/>
      </w:rPr>
      <w:fldChar w:fldCharType="end"/>
    </w:r>
  </w:p>
  <w:p w:rsidR="00715A5C" w:rsidRPr="002A5244" w:rsidRDefault="00715A5C" w:rsidP="00620F9D">
    <w:pPr>
      <w:pStyle w:val="PCFooter"/>
      <w:tabs>
        <w:tab w:val="clear" w:pos="4153"/>
        <w:tab w:val="center"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5C" w:rsidRDefault="00715A5C">
      <w:r>
        <w:separator/>
      </w:r>
    </w:p>
  </w:footnote>
  <w:footnote w:type="continuationSeparator" w:id="0">
    <w:p w:rsidR="00715A5C" w:rsidRDefault="0071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Pr="001C7C86" w:rsidRDefault="00715A5C" w:rsidP="00620F9D">
    <w:pPr>
      <w:rPr>
        <w:sz w:val="12"/>
        <w:szCs w:val="12"/>
      </w:rPr>
    </w:pPr>
    <w:r>
      <w:rPr>
        <w:noProof/>
        <w:sz w:val="12"/>
        <w:szCs w:val="12"/>
      </w:rPr>
      <mc:AlternateContent>
        <mc:Choice Requires="wps">
          <w:drawing>
            <wp:anchor distT="0" distB="0" distL="114300" distR="114300" simplePos="0" relativeHeight="251656192" behindDoc="1" locked="1" layoutInCell="1" allowOverlap="0">
              <wp:simplePos x="0" y="0"/>
              <wp:positionH relativeFrom="page">
                <wp:align>left</wp:align>
              </wp:positionH>
              <wp:positionV relativeFrom="page">
                <wp:align>top</wp:align>
              </wp:positionV>
              <wp:extent cx="7560310" cy="10692130"/>
              <wp:effectExtent l="1905" t="0" r="63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381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927E" id="Rectangle 3" o:spid="_x0000_s1026" style="position:absolute;margin-left:0;margin-top:0;width:595.3pt;height:841.9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" o:allowoverlap="f" fillcolor="#381e37" stroked="f">
              <w10:wrap anchorx="page" anchory="page"/>
              <w10:anchorlock/>
            </v:rect>
          </w:pict>
        </mc:Fallback>
      </mc:AlternateContent>
    </w:r>
  </w:p>
  <w:p w:rsidR="00715A5C" w:rsidRPr="001C7C86" w:rsidRDefault="00715A5C" w:rsidP="00620F9D">
    <w:pPr>
      <w:rPr>
        <w:sz w:val="12"/>
        <w:szCs w:val="12"/>
      </w:rPr>
    </w:pPr>
  </w:p>
  <w:p w:rsidR="00715A5C" w:rsidRPr="001C7C86" w:rsidRDefault="00715A5C" w:rsidP="00620F9D">
    <w:pPr>
      <w:rPr>
        <w:sz w:val="12"/>
        <w:szCs w:val="12"/>
      </w:rPr>
    </w:pPr>
  </w:p>
  <w:p w:rsidR="00715A5C" w:rsidRPr="001C7C86" w:rsidRDefault="00715A5C" w:rsidP="00620F9D">
    <w:pPr>
      <w:rPr>
        <w:sz w:val="12"/>
        <w:szCs w:val="12"/>
      </w:rPr>
    </w:pPr>
  </w:p>
  <w:p w:rsidR="00715A5C" w:rsidRPr="001C7C86" w:rsidRDefault="00715A5C" w:rsidP="00620F9D">
    <w:pPr>
      <w:rPr>
        <w:sz w:val="12"/>
        <w:szCs w:val="12"/>
      </w:rPr>
    </w:pPr>
  </w:p>
  <w:p w:rsidR="00715A5C" w:rsidRPr="001C7C86" w:rsidRDefault="00715A5C" w:rsidP="00620F9D">
    <w:pPr>
      <w:rPr>
        <w:sz w:val="12"/>
        <w:szCs w:val="12"/>
      </w:rPr>
    </w:pPr>
  </w:p>
  <w:p w:rsidR="00715A5C" w:rsidRPr="001C7C86" w:rsidRDefault="00715A5C" w:rsidP="00620F9D">
    <w:pPr>
      <w:rPr>
        <w:sz w:val="12"/>
        <w:szCs w:val="12"/>
      </w:rPr>
    </w:pPr>
  </w:p>
  <w:p w:rsidR="00715A5C" w:rsidRPr="001C7C86" w:rsidRDefault="00715A5C" w:rsidP="00620F9D">
    <w:pPr>
      <w:rPr>
        <w:sz w:val="12"/>
        <w:szCs w:val="12"/>
      </w:rPr>
    </w:pPr>
    <w:r>
      <w:rPr>
        <w:noProof/>
        <w:sz w:val="12"/>
        <w:szCs w:val="12"/>
      </w:rPr>
      <w:drawing>
        <wp:anchor distT="0" distB="0" distL="114300" distR="114300" simplePos="0" relativeHeight="251659264" behindDoc="1" locked="0" layoutInCell="1" allowOverlap="1">
          <wp:simplePos x="0" y="0"/>
          <wp:positionH relativeFrom="column">
            <wp:posOffset>-526415</wp:posOffset>
          </wp:positionH>
          <wp:positionV relativeFrom="paragraph">
            <wp:posOffset>156845</wp:posOffset>
          </wp:positionV>
          <wp:extent cx="3051810" cy="506730"/>
          <wp:effectExtent l="0" t="0" r="0" b="7620"/>
          <wp:wrapThrough wrapText="bothSides">
            <wp:wrapPolygon edited="0">
              <wp:start x="0" y="0"/>
              <wp:lineTo x="0" y="12992"/>
              <wp:lineTo x="3101" y="15429"/>
              <wp:lineTo x="3101" y="21113"/>
              <wp:lineTo x="17258" y="21113"/>
              <wp:lineTo x="17528" y="15429"/>
              <wp:lineTo x="21438" y="12180"/>
              <wp:lineTo x="21438" y="0"/>
              <wp:lineTo x="0" y="0"/>
            </wp:wrapPolygon>
          </wp:wrapThrough>
          <wp:docPr id="26" name="Picture 26" descr="ÔÇóMarsden_Wordmark_F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ÔÇóMarsden_Wordmark_FT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81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A5C" w:rsidRPr="001C7C86" w:rsidRDefault="00715A5C" w:rsidP="00620F9D">
    <w:pPr>
      <w:rPr>
        <w:sz w:val="12"/>
        <w:szCs w:val="12"/>
      </w:rPr>
    </w:pPr>
  </w:p>
  <w:p w:rsidR="00715A5C" w:rsidRPr="001C7C86" w:rsidRDefault="00715A5C" w:rsidP="00620F9D">
    <w:pPr>
      <w:rPr>
        <w:sz w:val="12"/>
        <w:szCs w:val="12"/>
      </w:rPr>
    </w:pPr>
  </w:p>
  <w:p w:rsidR="00715A5C" w:rsidRPr="001C7C86" w:rsidRDefault="00715A5C" w:rsidP="00620F9D">
    <w:pPr>
      <w:rPr>
        <w:sz w:val="12"/>
        <w:szCs w:val="12"/>
      </w:rPr>
    </w:pPr>
  </w:p>
  <w:p w:rsidR="00715A5C" w:rsidRPr="001C7C86" w:rsidRDefault="00715A5C" w:rsidP="00620F9D">
    <w:pPr>
      <w:rPr>
        <w:sz w:val="12"/>
        <w:szCs w:val="12"/>
      </w:rPr>
    </w:pPr>
  </w:p>
  <w:p w:rsidR="00715A5C" w:rsidRPr="001C7C86" w:rsidRDefault="00715A5C" w:rsidP="00620F9D">
    <w:pP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Default="00715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Pr="001046A7" w:rsidRDefault="00715A5C" w:rsidP="00620F9D">
    <w:pPr>
      <w:pStyle w:val="Header"/>
    </w:pPr>
    <w:r>
      <w:t xml:space="preserve">Workforce </w:t>
    </w:r>
    <w:r w:rsidR="003928DA">
      <w:t>DISABILITY</w:t>
    </w:r>
    <w:r>
      <w:t xml:space="preserve"> equality standard 20</w:t>
    </w:r>
    <w:r w:rsidR="003928DA">
      <w:t>20</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Default="00715A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Default="00715A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Pr="001046A7" w:rsidRDefault="00715A5C" w:rsidP="00620F9D">
    <w:r>
      <w:rPr>
        <w:noProof/>
      </w:rPr>
      <mc:AlternateContent>
        <mc:Choice Requires="wps">
          <w:drawing>
            <wp:anchor distT="0" distB="0" distL="114300" distR="114300" simplePos="0" relativeHeight="251657216" behindDoc="1" locked="1" layoutInCell="1" allowOverlap="0" wp14:anchorId="19AFFF5B" wp14:editId="0FE40321">
              <wp:simplePos x="0" y="0"/>
              <wp:positionH relativeFrom="page">
                <wp:align>left</wp:align>
              </wp:positionH>
              <wp:positionV relativeFrom="page">
                <wp:align>top</wp:align>
              </wp:positionV>
              <wp:extent cx="7595870" cy="10692130"/>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692130"/>
                      </a:xfrm>
                      <a:prstGeom prst="rect">
                        <a:avLst/>
                      </a:prstGeom>
                      <a:solidFill>
                        <a:srgbClr val="381E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5D99" id="Rectangle 17" o:spid="_x0000_s1026" style="position:absolute;margin-left:0;margin-top:0;width:598.1pt;height:841.9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" o:allowoverlap="f" fillcolor="#381e37" stroked="f">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A5C" w:rsidRDefault="00715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2C5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CA01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10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F403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4A2A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6E3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3661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FAE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2A8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06D"/>
    <w:multiLevelType w:val="multilevel"/>
    <w:tmpl w:val="D1D0B906"/>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338" w:hanging="624"/>
      </w:pPr>
      <w:rPr>
        <w:rFonts w:hint="default"/>
      </w:rPr>
    </w:lvl>
    <w:lvl w:ilvl="3">
      <w:start w:val="1"/>
      <w:numFmt w:val="decimal"/>
      <w:lvlText w:val="%1.%2.%3.%4."/>
      <w:lvlJc w:val="left"/>
      <w:pPr>
        <w:ind w:left="1695" w:hanging="624"/>
      </w:pPr>
      <w:rPr>
        <w:rFonts w:hint="default"/>
      </w:rPr>
    </w:lvl>
    <w:lvl w:ilvl="4">
      <w:start w:val="1"/>
      <w:numFmt w:val="decimal"/>
      <w:lvlText w:val="%1.%2.%3.%4.%5."/>
      <w:lvlJc w:val="left"/>
      <w:pPr>
        <w:ind w:left="2052" w:hanging="624"/>
      </w:pPr>
      <w:rPr>
        <w:rFonts w:hint="default"/>
      </w:rPr>
    </w:lvl>
    <w:lvl w:ilvl="5">
      <w:start w:val="1"/>
      <w:numFmt w:val="decimal"/>
      <w:lvlText w:val="%1.%2.%3.%4.%5.%6."/>
      <w:lvlJc w:val="left"/>
      <w:pPr>
        <w:ind w:left="2409" w:hanging="624"/>
      </w:pPr>
      <w:rPr>
        <w:rFonts w:hint="default"/>
      </w:rPr>
    </w:lvl>
    <w:lvl w:ilvl="6">
      <w:start w:val="1"/>
      <w:numFmt w:val="decimal"/>
      <w:lvlText w:val="%1.%2.%3.%4.%5.%6.%7."/>
      <w:lvlJc w:val="left"/>
      <w:pPr>
        <w:ind w:left="2766" w:hanging="624"/>
      </w:pPr>
      <w:rPr>
        <w:rFonts w:hint="default"/>
      </w:rPr>
    </w:lvl>
    <w:lvl w:ilvl="7">
      <w:start w:val="1"/>
      <w:numFmt w:val="decimal"/>
      <w:lvlText w:val="%1.%2.%3.%4.%5.%6.%7.%8."/>
      <w:lvlJc w:val="left"/>
      <w:pPr>
        <w:ind w:left="3123" w:hanging="624"/>
      </w:pPr>
      <w:rPr>
        <w:rFonts w:hint="default"/>
      </w:rPr>
    </w:lvl>
    <w:lvl w:ilvl="8">
      <w:start w:val="1"/>
      <w:numFmt w:val="decimal"/>
      <w:lvlText w:val="%1.%2.%3.%4.%5.%6.%7.%8.%9."/>
      <w:lvlJc w:val="left"/>
      <w:pPr>
        <w:ind w:left="3480" w:hanging="624"/>
      </w:pPr>
      <w:rPr>
        <w:rFonts w:hint="default"/>
      </w:rPr>
    </w:lvl>
  </w:abstractNum>
  <w:abstractNum w:abstractNumId="11" w15:restartNumberingAfterBreak="0">
    <w:nsid w:val="056369DA"/>
    <w:multiLevelType w:val="hybridMultilevel"/>
    <w:tmpl w:val="5158F896"/>
    <w:lvl w:ilvl="0" w:tplc="760C19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6D266BF"/>
    <w:multiLevelType w:val="hybridMultilevel"/>
    <w:tmpl w:val="087856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C4528E"/>
    <w:multiLevelType w:val="hybridMultilevel"/>
    <w:tmpl w:val="8EA6F06C"/>
    <w:lvl w:ilvl="0" w:tplc="991AEC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21B66"/>
    <w:multiLevelType w:val="hybridMultilevel"/>
    <w:tmpl w:val="821C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4866B7"/>
    <w:multiLevelType w:val="hybridMultilevel"/>
    <w:tmpl w:val="2B9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5D45C4"/>
    <w:multiLevelType w:val="hybridMultilevel"/>
    <w:tmpl w:val="6ABE65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C854369"/>
    <w:multiLevelType w:val="hybridMultilevel"/>
    <w:tmpl w:val="C4A2F0CA"/>
    <w:lvl w:ilvl="0" w:tplc="991AEC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0F351C1"/>
    <w:multiLevelType w:val="hybridMultilevel"/>
    <w:tmpl w:val="84EE2666"/>
    <w:lvl w:ilvl="0" w:tplc="325A008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E1151B"/>
    <w:multiLevelType w:val="hybridMultilevel"/>
    <w:tmpl w:val="B4F6EE7A"/>
    <w:lvl w:ilvl="0" w:tplc="AACE45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E1BD3"/>
    <w:multiLevelType w:val="hybridMultilevel"/>
    <w:tmpl w:val="91A296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B4143F"/>
    <w:multiLevelType w:val="hybridMultilevel"/>
    <w:tmpl w:val="89085B24"/>
    <w:lvl w:ilvl="0" w:tplc="0B0A0038">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B22743"/>
    <w:multiLevelType w:val="hybridMultilevel"/>
    <w:tmpl w:val="A3DE1D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223992"/>
    <w:multiLevelType w:val="hybridMultilevel"/>
    <w:tmpl w:val="CC9AD456"/>
    <w:lvl w:ilvl="0" w:tplc="AACE45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472AB8"/>
    <w:multiLevelType w:val="hybridMultilevel"/>
    <w:tmpl w:val="244820E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498702C7"/>
    <w:multiLevelType w:val="hybridMultilevel"/>
    <w:tmpl w:val="ECFC02B0"/>
    <w:lvl w:ilvl="0" w:tplc="991AEC6A">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4AA57138"/>
    <w:multiLevelType w:val="multilevel"/>
    <w:tmpl w:val="D88634B2"/>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lvlText w:val="%1.%2.%3."/>
      <w:lvlJc w:val="left"/>
      <w:pPr>
        <w:ind w:left="1338" w:hanging="624"/>
      </w:pPr>
      <w:rPr>
        <w:rFonts w:hint="default"/>
      </w:rPr>
    </w:lvl>
    <w:lvl w:ilvl="3">
      <w:start w:val="1"/>
      <w:numFmt w:val="decimal"/>
      <w:lvlText w:val="%1.%2.%3.%4."/>
      <w:lvlJc w:val="left"/>
      <w:pPr>
        <w:ind w:left="1695" w:hanging="624"/>
      </w:pPr>
      <w:rPr>
        <w:rFonts w:hint="default"/>
      </w:rPr>
    </w:lvl>
    <w:lvl w:ilvl="4">
      <w:start w:val="1"/>
      <w:numFmt w:val="decimal"/>
      <w:lvlText w:val="%1.%2.%3.%4.%5."/>
      <w:lvlJc w:val="left"/>
      <w:pPr>
        <w:ind w:left="2052" w:hanging="624"/>
      </w:pPr>
      <w:rPr>
        <w:rFonts w:hint="default"/>
      </w:rPr>
    </w:lvl>
    <w:lvl w:ilvl="5">
      <w:start w:val="1"/>
      <w:numFmt w:val="decimal"/>
      <w:lvlText w:val="%1.%2.%3.%4.%5.%6."/>
      <w:lvlJc w:val="left"/>
      <w:pPr>
        <w:ind w:left="2409" w:hanging="624"/>
      </w:pPr>
      <w:rPr>
        <w:rFonts w:hint="default"/>
      </w:rPr>
    </w:lvl>
    <w:lvl w:ilvl="6">
      <w:start w:val="1"/>
      <w:numFmt w:val="decimal"/>
      <w:lvlText w:val="%1.%2.%3.%4.%5.%6.%7."/>
      <w:lvlJc w:val="left"/>
      <w:pPr>
        <w:ind w:left="2766" w:hanging="624"/>
      </w:pPr>
      <w:rPr>
        <w:rFonts w:hint="default"/>
      </w:rPr>
    </w:lvl>
    <w:lvl w:ilvl="7">
      <w:start w:val="1"/>
      <w:numFmt w:val="decimal"/>
      <w:lvlText w:val="%1.%2.%3.%4.%5.%6.%7.%8."/>
      <w:lvlJc w:val="left"/>
      <w:pPr>
        <w:ind w:left="3123" w:hanging="624"/>
      </w:pPr>
      <w:rPr>
        <w:rFonts w:hint="default"/>
      </w:rPr>
    </w:lvl>
    <w:lvl w:ilvl="8">
      <w:start w:val="1"/>
      <w:numFmt w:val="decimal"/>
      <w:lvlText w:val="%1.%2.%3.%4.%5.%6.%7.%8.%9."/>
      <w:lvlJc w:val="left"/>
      <w:pPr>
        <w:ind w:left="3480" w:hanging="624"/>
      </w:pPr>
      <w:rPr>
        <w:rFonts w:hint="default"/>
      </w:rPr>
    </w:lvl>
  </w:abstractNum>
  <w:abstractNum w:abstractNumId="27" w15:restartNumberingAfterBreak="0">
    <w:nsid w:val="4B246E13"/>
    <w:multiLevelType w:val="hybridMultilevel"/>
    <w:tmpl w:val="5B6A806E"/>
    <w:lvl w:ilvl="0" w:tplc="991AEC6A">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8" w15:restartNumberingAfterBreak="0">
    <w:nsid w:val="50580385"/>
    <w:multiLevelType w:val="hybridMultilevel"/>
    <w:tmpl w:val="AD6EF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A33E8A"/>
    <w:multiLevelType w:val="hybridMultilevel"/>
    <w:tmpl w:val="E4181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35743C"/>
    <w:multiLevelType w:val="hybridMultilevel"/>
    <w:tmpl w:val="2756622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3A1204"/>
    <w:multiLevelType w:val="hybridMultilevel"/>
    <w:tmpl w:val="C3A0427C"/>
    <w:lvl w:ilvl="0" w:tplc="AACE45A8">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CD1494"/>
    <w:multiLevelType w:val="hybridMultilevel"/>
    <w:tmpl w:val="C706B442"/>
    <w:lvl w:ilvl="0" w:tplc="991AEC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2905A2"/>
    <w:multiLevelType w:val="hybridMultilevel"/>
    <w:tmpl w:val="7B62BFF2"/>
    <w:lvl w:ilvl="0" w:tplc="991AEC6A">
      <w:start w:val="1"/>
      <w:numFmt w:val="bullet"/>
      <w:lvlText w:val=""/>
      <w:lvlJc w:val="left"/>
      <w:pPr>
        <w:ind w:left="360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4" w15:restartNumberingAfterBreak="0">
    <w:nsid w:val="6CA70CC3"/>
    <w:multiLevelType w:val="hybridMultilevel"/>
    <w:tmpl w:val="1D82833E"/>
    <w:lvl w:ilvl="0" w:tplc="991AEC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676CBE"/>
    <w:multiLevelType w:val="hybridMultilevel"/>
    <w:tmpl w:val="B0F8B3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C3D74AA"/>
    <w:multiLevelType w:val="hybridMultilevel"/>
    <w:tmpl w:val="6AF60206"/>
    <w:lvl w:ilvl="0" w:tplc="5EA4115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20"/>
  </w:num>
  <w:num w:numId="19">
    <w:abstractNumId w:val="30"/>
  </w:num>
  <w:num w:numId="20">
    <w:abstractNumId w:val="28"/>
  </w:num>
  <w:num w:numId="21">
    <w:abstractNumId w:val="26"/>
  </w:num>
  <w:num w:numId="22">
    <w:abstractNumId w:val="26"/>
  </w:num>
  <w:num w:numId="23">
    <w:abstractNumId w:val="27"/>
  </w:num>
  <w:num w:numId="24">
    <w:abstractNumId w:val="26"/>
  </w:num>
  <w:num w:numId="25">
    <w:abstractNumId w:val="32"/>
  </w:num>
  <w:num w:numId="26">
    <w:abstractNumId w:val="26"/>
  </w:num>
  <w:num w:numId="27">
    <w:abstractNumId w:val="21"/>
  </w:num>
  <w:num w:numId="28">
    <w:abstractNumId w:val="26"/>
  </w:num>
  <w:num w:numId="29">
    <w:abstractNumId w:val="12"/>
  </w:num>
  <w:num w:numId="30">
    <w:abstractNumId w:val="13"/>
  </w:num>
  <w:num w:numId="31">
    <w:abstractNumId w:val="33"/>
  </w:num>
  <w:num w:numId="32">
    <w:abstractNumId w:val="23"/>
  </w:num>
  <w:num w:numId="33">
    <w:abstractNumId w:val="24"/>
  </w:num>
  <w:num w:numId="34">
    <w:abstractNumId w:val="25"/>
  </w:num>
  <w:num w:numId="35">
    <w:abstractNumId w:val="16"/>
  </w:num>
  <w:num w:numId="36">
    <w:abstractNumId w:val="26"/>
  </w:num>
  <w:num w:numId="37">
    <w:abstractNumId w:val="17"/>
  </w:num>
  <w:num w:numId="38">
    <w:abstractNumId w:val="34"/>
  </w:num>
  <w:num w:numId="39">
    <w:abstractNumId w:val="26"/>
  </w:num>
  <w:num w:numId="40">
    <w:abstractNumId w:val="35"/>
  </w:num>
  <w:num w:numId="41">
    <w:abstractNumId w:val="15"/>
  </w:num>
  <w:num w:numId="42">
    <w:abstractNumId w:val="19"/>
  </w:num>
  <w:num w:numId="43">
    <w:abstractNumId w:val="36"/>
  </w:num>
  <w:num w:numId="44">
    <w:abstractNumId w:val="26"/>
  </w:num>
  <w:num w:numId="45">
    <w:abstractNumId w:val="14"/>
  </w:num>
  <w:num w:numId="46">
    <w:abstractNumId w:val="18"/>
  </w:num>
  <w:num w:numId="47">
    <w:abstractNumId w:val="2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3009">
      <o:colormru v:ext="edit" colors="#381e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48"/>
    <w:rsid w:val="0000596C"/>
    <w:rsid w:val="00021072"/>
    <w:rsid w:val="000271CB"/>
    <w:rsid w:val="000338A9"/>
    <w:rsid w:val="000472BF"/>
    <w:rsid w:val="00056BE8"/>
    <w:rsid w:val="00061F16"/>
    <w:rsid w:val="00093F79"/>
    <w:rsid w:val="00094541"/>
    <w:rsid w:val="000B7706"/>
    <w:rsid w:val="000C72B6"/>
    <w:rsid w:val="000D0669"/>
    <w:rsid w:val="000D1C6C"/>
    <w:rsid w:val="000D6D4E"/>
    <w:rsid w:val="000F1F81"/>
    <w:rsid w:val="000F365E"/>
    <w:rsid w:val="000F435C"/>
    <w:rsid w:val="00104D09"/>
    <w:rsid w:val="00115A0A"/>
    <w:rsid w:val="00136649"/>
    <w:rsid w:val="001514F3"/>
    <w:rsid w:val="00152A65"/>
    <w:rsid w:val="00154897"/>
    <w:rsid w:val="001658B2"/>
    <w:rsid w:val="00171DE7"/>
    <w:rsid w:val="00177B29"/>
    <w:rsid w:val="00180FC6"/>
    <w:rsid w:val="0018744E"/>
    <w:rsid w:val="001924FD"/>
    <w:rsid w:val="00194A7A"/>
    <w:rsid w:val="001979BB"/>
    <w:rsid w:val="001B50A7"/>
    <w:rsid w:val="001C5989"/>
    <w:rsid w:val="001C5D71"/>
    <w:rsid w:val="001C7C86"/>
    <w:rsid w:val="001D200D"/>
    <w:rsid w:val="001F735C"/>
    <w:rsid w:val="00200C4B"/>
    <w:rsid w:val="00202F57"/>
    <w:rsid w:val="00206356"/>
    <w:rsid w:val="002139F7"/>
    <w:rsid w:val="002164A9"/>
    <w:rsid w:val="00223726"/>
    <w:rsid w:val="002307E5"/>
    <w:rsid w:val="002348BC"/>
    <w:rsid w:val="002402EC"/>
    <w:rsid w:val="00243428"/>
    <w:rsid w:val="002559AF"/>
    <w:rsid w:val="00260BE8"/>
    <w:rsid w:val="0026574C"/>
    <w:rsid w:val="002962A5"/>
    <w:rsid w:val="00297790"/>
    <w:rsid w:val="002C2E6B"/>
    <w:rsid w:val="002C7E83"/>
    <w:rsid w:val="002D3E87"/>
    <w:rsid w:val="002D3E9A"/>
    <w:rsid w:val="002E1572"/>
    <w:rsid w:val="002E33EB"/>
    <w:rsid w:val="003005C8"/>
    <w:rsid w:val="0030188F"/>
    <w:rsid w:val="003103FC"/>
    <w:rsid w:val="00341B58"/>
    <w:rsid w:val="00344DCC"/>
    <w:rsid w:val="00366DDD"/>
    <w:rsid w:val="00376823"/>
    <w:rsid w:val="00384CA4"/>
    <w:rsid w:val="003901BE"/>
    <w:rsid w:val="003928DA"/>
    <w:rsid w:val="0039704C"/>
    <w:rsid w:val="003A5BAC"/>
    <w:rsid w:val="003A76A3"/>
    <w:rsid w:val="003B775F"/>
    <w:rsid w:val="003C573A"/>
    <w:rsid w:val="003D1082"/>
    <w:rsid w:val="003D7194"/>
    <w:rsid w:val="003F1195"/>
    <w:rsid w:val="004064DA"/>
    <w:rsid w:val="00413761"/>
    <w:rsid w:val="00416686"/>
    <w:rsid w:val="00426650"/>
    <w:rsid w:val="00437261"/>
    <w:rsid w:val="00447415"/>
    <w:rsid w:val="0045208E"/>
    <w:rsid w:val="004559D5"/>
    <w:rsid w:val="00461269"/>
    <w:rsid w:val="00487B74"/>
    <w:rsid w:val="004937D4"/>
    <w:rsid w:val="004B2F60"/>
    <w:rsid w:val="004C4D3E"/>
    <w:rsid w:val="004D1C35"/>
    <w:rsid w:val="004E175D"/>
    <w:rsid w:val="00501891"/>
    <w:rsid w:val="005129A1"/>
    <w:rsid w:val="0051554B"/>
    <w:rsid w:val="00520F37"/>
    <w:rsid w:val="005311F5"/>
    <w:rsid w:val="0056216D"/>
    <w:rsid w:val="00565156"/>
    <w:rsid w:val="00574BB8"/>
    <w:rsid w:val="005945AD"/>
    <w:rsid w:val="005D1D65"/>
    <w:rsid w:val="005D2492"/>
    <w:rsid w:val="005E46B8"/>
    <w:rsid w:val="005E63ED"/>
    <w:rsid w:val="005E74E4"/>
    <w:rsid w:val="005F264C"/>
    <w:rsid w:val="005F6067"/>
    <w:rsid w:val="006027A2"/>
    <w:rsid w:val="00620F9D"/>
    <w:rsid w:val="006315E4"/>
    <w:rsid w:val="006378C1"/>
    <w:rsid w:val="00655358"/>
    <w:rsid w:val="00664C20"/>
    <w:rsid w:val="00665234"/>
    <w:rsid w:val="006938FB"/>
    <w:rsid w:val="006A2356"/>
    <w:rsid w:val="006B6E21"/>
    <w:rsid w:val="006C37EC"/>
    <w:rsid w:val="006C51FC"/>
    <w:rsid w:val="006C53EE"/>
    <w:rsid w:val="006C736F"/>
    <w:rsid w:val="006D5911"/>
    <w:rsid w:val="006E04D8"/>
    <w:rsid w:val="006E0BB1"/>
    <w:rsid w:val="006E3F8F"/>
    <w:rsid w:val="006E4FC3"/>
    <w:rsid w:val="006F7B73"/>
    <w:rsid w:val="00714A5E"/>
    <w:rsid w:val="00715A5C"/>
    <w:rsid w:val="0073187B"/>
    <w:rsid w:val="00745C3C"/>
    <w:rsid w:val="00755CCD"/>
    <w:rsid w:val="00770ACA"/>
    <w:rsid w:val="00770F15"/>
    <w:rsid w:val="00777C98"/>
    <w:rsid w:val="007A03BC"/>
    <w:rsid w:val="007B5FC3"/>
    <w:rsid w:val="007B7511"/>
    <w:rsid w:val="007E55ED"/>
    <w:rsid w:val="00804E62"/>
    <w:rsid w:val="00814599"/>
    <w:rsid w:val="00851D48"/>
    <w:rsid w:val="008640F6"/>
    <w:rsid w:val="008773AA"/>
    <w:rsid w:val="00895681"/>
    <w:rsid w:val="008A3737"/>
    <w:rsid w:val="008B5063"/>
    <w:rsid w:val="008C2E89"/>
    <w:rsid w:val="008D368F"/>
    <w:rsid w:val="008E1E45"/>
    <w:rsid w:val="009022E7"/>
    <w:rsid w:val="00903F37"/>
    <w:rsid w:val="0091077A"/>
    <w:rsid w:val="00915C3F"/>
    <w:rsid w:val="00936BF6"/>
    <w:rsid w:val="00940DA8"/>
    <w:rsid w:val="009504F9"/>
    <w:rsid w:val="009509E5"/>
    <w:rsid w:val="00951CCD"/>
    <w:rsid w:val="00963883"/>
    <w:rsid w:val="00966E93"/>
    <w:rsid w:val="00975325"/>
    <w:rsid w:val="0098329F"/>
    <w:rsid w:val="00985F21"/>
    <w:rsid w:val="009934DA"/>
    <w:rsid w:val="00994E02"/>
    <w:rsid w:val="009D321B"/>
    <w:rsid w:val="009E2741"/>
    <w:rsid w:val="009F35F4"/>
    <w:rsid w:val="00A0476F"/>
    <w:rsid w:val="00A7034F"/>
    <w:rsid w:val="00A80688"/>
    <w:rsid w:val="00A96DB6"/>
    <w:rsid w:val="00AA071A"/>
    <w:rsid w:val="00AA43DD"/>
    <w:rsid w:val="00AA7883"/>
    <w:rsid w:val="00AB23D3"/>
    <w:rsid w:val="00AC1C25"/>
    <w:rsid w:val="00AD5CB0"/>
    <w:rsid w:val="00AD7300"/>
    <w:rsid w:val="00AF58B3"/>
    <w:rsid w:val="00B02EE6"/>
    <w:rsid w:val="00B03240"/>
    <w:rsid w:val="00B0543A"/>
    <w:rsid w:val="00B12314"/>
    <w:rsid w:val="00B15748"/>
    <w:rsid w:val="00B347D9"/>
    <w:rsid w:val="00B51C60"/>
    <w:rsid w:val="00B5220A"/>
    <w:rsid w:val="00B55990"/>
    <w:rsid w:val="00B56F34"/>
    <w:rsid w:val="00B57658"/>
    <w:rsid w:val="00B71E64"/>
    <w:rsid w:val="00B73B4A"/>
    <w:rsid w:val="00B84510"/>
    <w:rsid w:val="00B87E13"/>
    <w:rsid w:val="00B94EA2"/>
    <w:rsid w:val="00BC13FA"/>
    <w:rsid w:val="00BC5E3F"/>
    <w:rsid w:val="00BE0AD5"/>
    <w:rsid w:val="00BE6CF6"/>
    <w:rsid w:val="00BF1985"/>
    <w:rsid w:val="00BF5825"/>
    <w:rsid w:val="00C12353"/>
    <w:rsid w:val="00C26E3F"/>
    <w:rsid w:val="00C30354"/>
    <w:rsid w:val="00C422CD"/>
    <w:rsid w:val="00C42E1E"/>
    <w:rsid w:val="00C63498"/>
    <w:rsid w:val="00C73E80"/>
    <w:rsid w:val="00C93A12"/>
    <w:rsid w:val="00CB57BD"/>
    <w:rsid w:val="00CC2893"/>
    <w:rsid w:val="00CE5B50"/>
    <w:rsid w:val="00CF292F"/>
    <w:rsid w:val="00D00152"/>
    <w:rsid w:val="00D320FF"/>
    <w:rsid w:val="00D40283"/>
    <w:rsid w:val="00D47901"/>
    <w:rsid w:val="00D64ACB"/>
    <w:rsid w:val="00D7281B"/>
    <w:rsid w:val="00D732FE"/>
    <w:rsid w:val="00D9002B"/>
    <w:rsid w:val="00D97942"/>
    <w:rsid w:val="00DB6A21"/>
    <w:rsid w:val="00DB7F76"/>
    <w:rsid w:val="00DC3058"/>
    <w:rsid w:val="00DC6E8B"/>
    <w:rsid w:val="00DD5D32"/>
    <w:rsid w:val="00DE0274"/>
    <w:rsid w:val="00DE2607"/>
    <w:rsid w:val="00DE79FD"/>
    <w:rsid w:val="00E026CD"/>
    <w:rsid w:val="00E05CC9"/>
    <w:rsid w:val="00E11454"/>
    <w:rsid w:val="00E14CFA"/>
    <w:rsid w:val="00E172E4"/>
    <w:rsid w:val="00E17BD1"/>
    <w:rsid w:val="00E2441A"/>
    <w:rsid w:val="00E260FD"/>
    <w:rsid w:val="00E60203"/>
    <w:rsid w:val="00E75C05"/>
    <w:rsid w:val="00E75DBC"/>
    <w:rsid w:val="00E828BE"/>
    <w:rsid w:val="00E927F0"/>
    <w:rsid w:val="00E93779"/>
    <w:rsid w:val="00EA0FD5"/>
    <w:rsid w:val="00EC4DA9"/>
    <w:rsid w:val="00ED7575"/>
    <w:rsid w:val="00EE14BD"/>
    <w:rsid w:val="00EF2337"/>
    <w:rsid w:val="00F03CB1"/>
    <w:rsid w:val="00F31656"/>
    <w:rsid w:val="00F35F8C"/>
    <w:rsid w:val="00F53CEA"/>
    <w:rsid w:val="00F67D51"/>
    <w:rsid w:val="00F72155"/>
    <w:rsid w:val="00F7641E"/>
    <w:rsid w:val="00F80446"/>
    <w:rsid w:val="00F81928"/>
    <w:rsid w:val="00FA0B7B"/>
    <w:rsid w:val="00FA1254"/>
    <w:rsid w:val="00FA71E5"/>
    <w:rsid w:val="00FB4C4B"/>
    <w:rsid w:val="00FB74BE"/>
    <w:rsid w:val="00FC4E70"/>
    <w:rsid w:val="00FD4338"/>
    <w:rsid w:val="00FF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381e37"/>
    </o:shapedefaults>
    <o:shapelayout v:ext="edit">
      <o:idmap v:ext="edit" data="1"/>
    </o:shapelayout>
  </w:shapeDefaults>
  <w:decimalSymbol w:val="."/>
  <w:listSeparator w:val=","/>
  <w14:docId w14:val="61C738B7"/>
  <w15:docId w15:val="{31AE8E54-6823-4B40-8C3F-E4C82D81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8BC"/>
    <w:pPr>
      <w:spacing w:before="120" w:after="120"/>
    </w:pPr>
    <w:rPr>
      <w:rFonts w:ascii="Georgia" w:hAnsi="Georgia" w:cs="Arial"/>
      <w:iCs/>
      <w:color w:val="381E37"/>
      <w:kern w:val="32"/>
      <w:sz w:val="22"/>
      <w:szCs w:val="28"/>
    </w:rPr>
  </w:style>
  <w:style w:type="paragraph" w:styleId="Heading1">
    <w:name w:val="heading 1"/>
    <w:next w:val="Normal"/>
    <w:qFormat/>
    <w:rsid w:val="002348BC"/>
    <w:pPr>
      <w:keepNext/>
      <w:numPr>
        <w:numId w:val="11"/>
      </w:numPr>
      <w:spacing w:before="240" w:after="240"/>
      <w:outlineLvl w:val="0"/>
    </w:pPr>
    <w:rPr>
      <w:rFonts w:ascii="Georgia" w:hAnsi="Georgia" w:cs="Arial"/>
      <w:bCs/>
      <w:color w:val="00A0CD"/>
      <w:kern w:val="32"/>
      <w:sz w:val="32"/>
      <w:szCs w:val="32"/>
    </w:rPr>
  </w:style>
  <w:style w:type="paragraph" w:styleId="Heading2">
    <w:name w:val="heading 2"/>
    <w:basedOn w:val="Heading1"/>
    <w:next w:val="Normal"/>
    <w:qFormat/>
    <w:rsid w:val="002A5244"/>
    <w:pPr>
      <w:numPr>
        <w:ilvl w:val="1"/>
      </w:numPr>
      <w:spacing w:after="60"/>
      <w:outlineLvl w:val="1"/>
    </w:pPr>
    <w:rPr>
      <w:bCs w:val="0"/>
      <w:iCs/>
      <w:color w:val="381E37"/>
      <w:sz w:val="28"/>
      <w:szCs w:val="28"/>
    </w:rPr>
  </w:style>
  <w:style w:type="paragraph" w:styleId="Heading3">
    <w:name w:val="heading 3"/>
    <w:basedOn w:val="Normal"/>
    <w:next w:val="Normal"/>
    <w:qFormat/>
    <w:rsid w:val="002348B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CFooter"/>
    <w:rsid w:val="00EF48EF"/>
    <w:pPr>
      <w:pBdr>
        <w:top w:val="single" w:sz="24" w:space="6" w:color="381E37"/>
      </w:pBdr>
    </w:pPr>
    <w:rPr>
      <w:color w:val="381E37"/>
    </w:rPr>
  </w:style>
  <w:style w:type="paragraph" w:styleId="Footer">
    <w:name w:val="footer"/>
    <w:basedOn w:val="Normal"/>
    <w:link w:val="FooterChar"/>
    <w:uiPriority w:val="99"/>
    <w:rsid w:val="00AF45A6"/>
    <w:pPr>
      <w:tabs>
        <w:tab w:val="center" w:pos="4153"/>
        <w:tab w:val="right" w:pos="8306"/>
      </w:tabs>
    </w:pPr>
  </w:style>
  <w:style w:type="paragraph" w:styleId="Date">
    <w:name w:val="Date"/>
    <w:basedOn w:val="Normal"/>
    <w:next w:val="Normal"/>
    <w:autoRedefine/>
    <w:rsid w:val="009A7A13"/>
    <w:pPr>
      <w:framePr w:hSpace="181" w:wrap="around" w:vAnchor="page" w:hAnchor="margin" w:y="4861"/>
      <w:pBdr>
        <w:bottom w:val="single" w:sz="8" w:space="6" w:color="FFFFFF"/>
      </w:pBdr>
    </w:pPr>
    <w:rPr>
      <w:color w:val="FFFFFF"/>
      <w:sz w:val="36"/>
    </w:rPr>
  </w:style>
  <w:style w:type="paragraph" w:styleId="Title">
    <w:name w:val="Title"/>
    <w:basedOn w:val="Normal"/>
    <w:qFormat/>
    <w:rsid w:val="002348BC"/>
    <w:pPr>
      <w:pBdr>
        <w:top w:val="single" w:sz="48" w:space="16" w:color="FFFFFF"/>
      </w:pBdr>
      <w:spacing w:before="240" w:after="60" w:line="1120" w:lineRule="exact"/>
      <w:outlineLvl w:val="0"/>
    </w:pPr>
    <w:rPr>
      <w:bCs/>
      <w:color w:val="FFFFFF"/>
      <w:kern w:val="28"/>
      <w:sz w:val="120"/>
      <w:szCs w:val="32"/>
    </w:rPr>
  </w:style>
  <w:style w:type="paragraph" w:customStyle="1" w:styleId="PCFooter">
    <w:name w:val="P&amp;C Footer"/>
    <w:basedOn w:val="Footer"/>
    <w:rsid w:val="002A5244"/>
    <w:rPr>
      <w:caps/>
      <w:color w:val="000000"/>
      <w:sz w:val="16"/>
    </w:rPr>
  </w:style>
  <w:style w:type="paragraph" w:customStyle="1" w:styleId="PCWhite">
    <w:name w:val="P&amp;C White"/>
    <w:basedOn w:val="Normal"/>
    <w:rsid w:val="00672424"/>
    <w:rPr>
      <w:caps/>
      <w:color w:val="FFFFFF"/>
    </w:rPr>
  </w:style>
  <w:style w:type="character" w:styleId="PageNumber">
    <w:name w:val="page number"/>
    <w:rsid w:val="002348BC"/>
    <w:rPr>
      <w:rFonts w:ascii="Georgia" w:hAnsi="Georgia"/>
    </w:rPr>
  </w:style>
  <w:style w:type="paragraph" w:styleId="ListBullet">
    <w:name w:val="List Bullet"/>
    <w:basedOn w:val="Normal"/>
    <w:rsid w:val="00C4072B"/>
    <w:pPr>
      <w:numPr>
        <w:numId w:val="2"/>
      </w:numPr>
      <w:tabs>
        <w:tab w:val="clear" w:pos="360"/>
        <w:tab w:val="left" w:pos="737"/>
      </w:tabs>
      <w:ind w:left="737" w:hanging="737"/>
    </w:pPr>
  </w:style>
  <w:style w:type="character" w:customStyle="1" w:styleId="Style1">
    <w:name w:val="Style1"/>
    <w:rsid w:val="002348BC"/>
    <w:rPr>
      <w:rFonts w:ascii="Georgia" w:hAnsi="Georgia"/>
      <w:color w:val="99DCEE"/>
    </w:rPr>
  </w:style>
  <w:style w:type="table" w:styleId="TableGrid">
    <w:name w:val="Table Grid"/>
    <w:basedOn w:val="TableNormal"/>
    <w:rsid w:val="002348BC"/>
    <w:pPr>
      <w:spacing w:before="120" w:after="12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rsid w:val="002248D9"/>
    <w:pPr>
      <w:spacing w:before="240" w:after="0"/>
    </w:pPr>
    <w:rPr>
      <w:sz w:val="28"/>
    </w:rPr>
  </w:style>
  <w:style w:type="paragraph" w:styleId="NoSpacing">
    <w:name w:val="No Spacing"/>
    <w:link w:val="NoSpacingChar"/>
    <w:uiPriority w:val="1"/>
    <w:qFormat/>
    <w:rsid w:val="00885BE3"/>
    <w:rPr>
      <w:rFonts w:ascii="Calibri" w:hAnsi="Calibri"/>
      <w:sz w:val="22"/>
      <w:szCs w:val="22"/>
      <w:lang w:val="en-US" w:eastAsia="en-US"/>
    </w:rPr>
  </w:style>
  <w:style w:type="character" w:customStyle="1" w:styleId="NoSpacingChar">
    <w:name w:val="No Spacing Char"/>
    <w:link w:val="NoSpacing"/>
    <w:uiPriority w:val="1"/>
    <w:semiHidden/>
    <w:rsid w:val="00885BE3"/>
    <w:rPr>
      <w:rFonts w:ascii="Calibri" w:hAnsi="Calibri"/>
      <w:sz w:val="22"/>
      <w:szCs w:val="22"/>
      <w:lang w:val="en-US" w:eastAsia="en-US" w:bidi="ar-SA"/>
    </w:rPr>
  </w:style>
  <w:style w:type="paragraph" w:styleId="BalloonText">
    <w:name w:val="Balloon Text"/>
    <w:basedOn w:val="Normal"/>
    <w:link w:val="BalloonTextChar"/>
    <w:rsid w:val="00885BE3"/>
    <w:pPr>
      <w:spacing w:before="0" w:after="0"/>
    </w:pPr>
    <w:rPr>
      <w:rFonts w:ascii="Tahoma" w:hAnsi="Tahoma" w:cs="Tahoma"/>
      <w:sz w:val="16"/>
      <w:szCs w:val="16"/>
    </w:rPr>
  </w:style>
  <w:style w:type="character" w:customStyle="1" w:styleId="BalloonTextChar">
    <w:name w:val="Balloon Text Char"/>
    <w:link w:val="BalloonText"/>
    <w:rsid w:val="00885BE3"/>
    <w:rPr>
      <w:rFonts w:ascii="Tahoma" w:hAnsi="Tahoma" w:cs="Tahoma"/>
      <w:color w:val="000000"/>
      <w:sz w:val="16"/>
      <w:szCs w:val="16"/>
      <w:lang w:val="en-GB" w:eastAsia="en-GB"/>
    </w:rPr>
  </w:style>
  <w:style w:type="paragraph" w:styleId="TOCHeading">
    <w:name w:val="TOC Heading"/>
    <w:next w:val="Normal"/>
    <w:uiPriority w:val="39"/>
    <w:qFormat/>
    <w:rsid w:val="002348BC"/>
    <w:rPr>
      <w:rFonts w:ascii="Georgia" w:hAnsi="Georgia" w:cs="Arial"/>
      <w:bCs/>
      <w:color w:val="00A0CD"/>
      <w:kern w:val="32"/>
      <w:sz w:val="32"/>
      <w:szCs w:val="32"/>
    </w:rPr>
  </w:style>
  <w:style w:type="paragraph" w:styleId="TOC1">
    <w:name w:val="toc 1"/>
    <w:basedOn w:val="Normal"/>
    <w:next w:val="Normal"/>
    <w:autoRedefine/>
    <w:uiPriority w:val="39"/>
    <w:rsid w:val="00D47901"/>
    <w:pPr>
      <w:numPr>
        <w:numId w:val="27"/>
      </w:numPr>
      <w:tabs>
        <w:tab w:val="left" w:pos="567"/>
        <w:tab w:val="right" w:leader="dot" w:pos="9214"/>
      </w:tabs>
    </w:pPr>
  </w:style>
  <w:style w:type="paragraph" w:styleId="TOC2">
    <w:name w:val="toc 2"/>
    <w:basedOn w:val="Normal"/>
    <w:next w:val="Normal"/>
    <w:autoRedefine/>
    <w:uiPriority w:val="39"/>
    <w:rsid w:val="000F2077"/>
    <w:pPr>
      <w:tabs>
        <w:tab w:val="right" w:leader="dot" w:pos="9214"/>
      </w:tabs>
      <w:ind w:left="567"/>
    </w:pPr>
  </w:style>
  <w:style w:type="character" w:styleId="Hyperlink">
    <w:name w:val="Hyperlink"/>
    <w:uiPriority w:val="99"/>
    <w:unhideWhenUsed/>
    <w:rsid w:val="002348BC"/>
    <w:rPr>
      <w:rFonts w:ascii="Georgia" w:hAnsi="Georgia"/>
      <w:color w:val="0000FF"/>
      <w:u w:val="single"/>
    </w:rPr>
  </w:style>
  <w:style w:type="paragraph" w:customStyle="1" w:styleId="Style2">
    <w:name w:val="Style2"/>
    <w:basedOn w:val="Tablelist"/>
    <w:qFormat/>
    <w:rsid w:val="00C51D7D"/>
    <w:rPr>
      <w:color w:val="FF3399"/>
    </w:rPr>
  </w:style>
  <w:style w:type="paragraph" w:customStyle="1" w:styleId="Tablelist">
    <w:name w:val="Table list"/>
    <w:basedOn w:val="Normal"/>
    <w:qFormat/>
    <w:rsid w:val="00E84958"/>
    <w:pPr>
      <w:spacing w:before="0" w:after="0"/>
    </w:pPr>
  </w:style>
  <w:style w:type="paragraph" w:customStyle="1" w:styleId="TableColumnheaderleft">
    <w:name w:val="Table Column header left"/>
    <w:basedOn w:val="Normal"/>
    <w:qFormat/>
    <w:rsid w:val="00C51D7D"/>
    <w:pPr>
      <w:pBdr>
        <w:bottom w:val="single" w:sz="24" w:space="8" w:color="381E37"/>
      </w:pBdr>
    </w:pPr>
    <w:rPr>
      <w:b/>
      <w:color w:val="auto"/>
    </w:rPr>
  </w:style>
  <w:style w:type="character" w:customStyle="1" w:styleId="FooterChar">
    <w:name w:val="Footer Char"/>
    <w:link w:val="Footer"/>
    <w:uiPriority w:val="99"/>
    <w:rsid w:val="0091077A"/>
    <w:rPr>
      <w:rFonts w:ascii="Georgia" w:hAnsi="Georgia" w:cs="Arial"/>
      <w:iCs/>
      <w:color w:val="381E37"/>
      <w:kern w:val="32"/>
      <w:sz w:val="22"/>
      <w:szCs w:val="28"/>
    </w:rPr>
  </w:style>
  <w:style w:type="paragraph" w:customStyle="1" w:styleId="Default">
    <w:name w:val="Default"/>
    <w:rsid w:val="00936BF6"/>
    <w:pPr>
      <w:autoSpaceDE w:val="0"/>
      <w:autoSpaceDN w:val="0"/>
      <w:adjustRightInd w:val="0"/>
    </w:pPr>
    <w:rPr>
      <w:rFonts w:ascii="Frutiger 45 Light" w:hAnsi="Frutiger 45 Light" w:cs="Frutiger 45 Light"/>
      <w:color w:val="000000"/>
      <w:sz w:val="24"/>
      <w:szCs w:val="24"/>
    </w:rPr>
  </w:style>
  <w:style w:type="table" w:customStyle="1" w:styleId="Calendar1">
    <w:name w:val="Calendar 1"/>
    <w:basedOn w:val="TableNormal"/>
    <w:uiPriority w:val="99"/>
    <w:qFormat/>
    <w:rsid w:val="00FB4C4B"/>
    <w:rPr>
      <w:rFonts w:ascii="Calibri" w:eastAsia="MS Mincho" w:hAnsi="Calibri" w:cs="Arial"/>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Classic2">
    <w:name w:val="Table Classic 2"/>
    <w:basedOn w:val="TableNormal"/>
    <w:rsid w:val="00FB4C4B"/>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9F35F4"/>
    <w:rPr>
      <w:sz w:val="16"/>
      <w:szCs w:val="16"/>
    </w:rPr>
  </w:style>
  <w:style w:type="paragraph" w:styleId="CommentText">
    <w:name w:val="annotation text"/>
    <w:basedOn w:val="Normal"/>
    <w:link w:val="CommentTextChar"/>
    <w:rsid w:val="009F35F4"/>
    <w:rPr>
      <w:sz w:val="20"/>
      <w:szCs w:val="20"/>
    </w:rPr>
  </w:style>
  <w:style w:type="character" w:customStyle="1" w:styleId="CommentTextChar">
    <w:name w:val="Comment Text Char"/>
    <w:link w:val="CommentText"/>
    <w:rsid w:val="009F35F4"/>
    <w:rPr>
      <w:rFonts w:ascii="Georgia" w:hAnsi="Georgia" w:cs="Arial"/>
      <w:iCs/>
      <w:color w:val="381E37"/>
      <w:kern w:val="32"/>
    </w:rPr>
  </w:style>
  <w:style w:type="paragraph" w:styleId="CommentSubject">
    <w:name w:val="annotation subject"/>
    <w:basedOn w:val="CommentText"/>
    <w:next w:val="CommentText"/>
    <w:link w:val="CommentSubjectChar"/>
    <w:rsid w:val="009F35F4"/>
    <w:rPr>
      <w:b/>
      <w:bCs/>
    </w:rPr>
  </w:style>
  <w:style w:type="character" w:customStyle="1" w:styleId="CommentSubjectChar">
    <w:name w:val="Comment Subject Char"/>
    <w:link w:val="CommentSubject"/>
    <w:rsid w:val="009F35F4"/>
    <w:rPr>
      <w:rFonts w:ascii="Georgia" w:hAnsi="Georgia" w:cs="Arial"/>
      <w:b/>
      <w:bCs/>
      <w:iCs/>
      <w:color w:val="381E37"/>
      <w:kern w:val="32"/>
    </w:rPr>
  </w:style>
  <w:style w:type="paragraph" w:styleId="ListParagraph">
    <w:name w:val="List Paragraph"/>
    <w:basedOn w:val="Normal"/>
    <w:uiPriority w:val="34"/>
    <w:qFormat/>
    <w:rsid w:val="002C2E6B"/>
    <w:pPr>
      <w:ind w:left="720"/>
      <w:contextualSpacing/>
    </w:pPr>
  </w:style>
  <w:style w:type="paragraph" w:styleId="PlainText">
    <w:name w:val="Plain Text"/>
    <w:basedOn w:val="Normal"/>
    <w:link w:val="PlainTextChar"/>
    <w:uiPriority w:val="99"/>
    <w:unhideWhenUsed/>
    <w:rsid w:val="00F53CEA"/>
    <w:pPr>
      <w:spacing w:before="0" w:after="0"/>
    </w:pPr>
    <w:rPr>
      <w:rFonts w:ascii="Calibri" w:eastAsiaTheme="minorHAnsi" w:hAnsi="Calibri" w:cs="Consolas"/>
      <w:iCs w:val="0"/>
      <w:color w:val="auto"/>
      <w:kern w:val="0"/>
      <w:szCs w:val="21"/>
      <w:lang w:eastAsia="en-US"/>
    </w:rPr>
  </w:style>
  <w:style w:type="character" w:customStyle="1" w:styleId="PlainTextChar">
    <w:name w:val="Plain Text Char"/>
    <w:basedOn w:val="DefaultParagraphFont"/>
    <w:link w:val="PlainText"/>
    <w:uiPriority w:val="99"/>
    <w:rsid w:val="00F53CEA"/>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060">
      <w:bodyDiv w:val="1"/>
      <w:marLeft w:val="0"/>
      <w:marRight w:val="0"/>
      <w:marTop w:val="0"/>
      <w:marBottom w:val="0"/>
      <w:divBdr>
        <w:top w:val="none" w:sz="0" w:space="0" w:color="auto"/>
        <w:left w:val="none" w:sz="0" w:space="0" w:color="auto"/>
        <w:bottom w:val="none" w:sz="0" w:space="0" w:color="auto"/>
        <w:right w:val="none" w:sz="0" w:space="0" w:color="auto"/>
      </w:divBdr>
    </w:div>
    <w:div w:id="9337138">
      <w:bodyDiv w:val="1"/>
      <w:marLeft w:val="0"/>
      <w:marRight w:val="0"/>
      <w:marTop w:val="0"/>
      <w:marBottom w:val="0"/>
      <w:divBdr>
        <w:top w:val="none" w:sz="0" w:space="0" w:color="auto"/>
        <w:left w:val="none" w:sz="0" w:space="0" w:color="auto"/>
        <w:bottom w:val="none" w:sz="0" w:space="0" w:color="auto"/>
        <w:right w:val="none" w:sz="0" w:space="0" w:color="auto"/>
      </w:divBdr>
    </w:div>
    <w:div w:id="69354885">
      <w:bodyDiv w:val="1"/>
      <w:marLeft w:val="0"/>
      <w:marRight w:val="0"/>
      <w:marTop w:val="0"/>
      <w:marBottom w:val="0"/>
      <w:divBdr>
        <w:top w:val="none" w:sz="0" w:space="0" w:color="auto"/>
        <w:left w:val="none" w:sz="0" w:space="0" w:color="auto"/>
        <w:bottom w:val="none" w:sz="0" w:space="0" w:color="auto"/>
        <w:right w:val="none" w:sz="0" w:space="0" w:color="auto"/>
      </w:divBdr>
    </w:div>
    <w:div w:id="101728240">
      <w:bodyDiv w:val="1"/>
      <w:marLeft w:val="0"/>
      <w:marRight w:val="0"/>
      <w:marTop w:val="0"/>
      <w:marBottom w:val="0"/>
      <w:divBdr>
        <w:top w:val="none" w:sz="0" w:space="0" w:color="auto"/>
        <w:left w:val="none" w:sz="0" w:space="0" w:color="auto"/>
        <w:bottom w:val="none" w:sz="0" w:space="0" w:color="auto"/>
        <w:right w:val="none" w:sz="0" w:space="0" w:color="auto"/>
      </w:divBdr>
    </w:div>
    <w:div w:id="312756275">
      <w:bodyDiv w:val="1"/>
      <w:marLeft w:val="0"/>
      <w:marRight w:val="0"/>
      <w:marTop w:val="0"/>
      <w:marBottom w:val="0"/>
      <w:divBdr>
        <w:top w:val="none" w:sz="0" w:space="0" w:color="auto"/>
        <w:left w:val="none" w:sz="0" w:space="0" w:color="auto"/>
        <w:bottom w:val="none" w:sz="0" w:space="0" w:color="auto"/>
        <w:right w:val="none" w:sz="0" w:space="0" w:color="auto"/>
      </w:divBdr>
    </w:div>
    <w:div w:id="350497555">
      <w:bodyDiv w:val="1"/>
      <w:marLeft w:val="0"/>
      <w:marRight w:val="0"/>
      <w:marTop w:val="0"/>
      <w:marBottom w:val="0"/>
      <w:divBdr>
        <w:top w:val="none" w:sz="0" w:space="0" w:color="auto"/>
        <w:left w:val="none" w:sz="0" w:space="0" w:color="auto"/>
        <w:bottom w:val="none" w:sz="0" w:space="0" w:color="auto"/>
        <w:right w:val="none" w:sz="0" w:space="0" w:color="auto"/>
      </w:divBdr>
    </w:div>
    <w:div w:id="486282202">
      <w:bodyDiv w:val="1"/>
      <w:marLeft w:val="0"/>
      <w:marRight w:val="0"/>
      <w:marTop w:val="0"/>
      <w:marBottom w:val="0"/>
      <w:divBdr>
        <w:top w:val="none" w:sz="0" w:space="0" w:color="auto"/>
        <w:left w:val="none" w:sz="0" w:space="0" w:color="auto"/>
        <w:bottom w:val="none" w:sz="0" w:space="0" w:color="auto"/>
        <w:right w:val="none" w:sz="0" w:space="0" w:color="auto"/>
      </w:divBdr>
    </w:div>
    <w:div w:id="622153579">
      <w:bodyDiv w:val="1"/>
      <w:marLeft w:val="0"/>
      <w:marRight w:val="0"/>
      <w:marTop w:val="0"/>
      <w:marBottom w:val="0"/>
      <w:divBdr>
        <w:top w:val="none" w:sz="0" w:space="0" w:color="auto"/>
        <w:left w:val="none" w:sz="0" w:space="0" w:color="auto"/>
        <w:bottom w:val="none" w:sz="0" w:space="0" w:color="auto"/>
        <w:right w:val="none" w:sz="0" w:space="0" w:color="auto"/>
      </w:divBdr>
    </w:div>
    <w:div w:id="819543194">
      <w:bodyDiv w:val="1"/>
      <w:marLeft w:val="0"/>
      <w:marRight w:val="0"/>
      <w:marTop w:val="0"/>
      <w:marBottom w:val="0"/>
      <w:divBdr>
        <w:top w:val="none" w:sz="0" w:space="0" w:color="auto"/>
        <w:left w:val="none" w:sz="0" w:space="0" w:color="auto"/>
        <w:bottom w:val="none" w:sz="0" w:space="0" w:color="auto"/>
        <w:right w:val="none" w:sz="0" w:space="0" w:color="auto"/>
      </w:divBdr>
    </w:div>
    <w:div w:id="821120144">
      <w:bodyDiv w:val="1"/>
      <w:marLeft w:val="0"/>
      <w:marRight w:val="0"/>
      <w:marTop w:val="0"/>
      <w:marBottom w:val="0"/>
      <w:divBdr>
        <w:top w:val="none" w:sz="0" w:space="0" w:color="auto"/>
        <w:left w:val="none" w:sz="0" w:space="0" w:color="auto"/>
        <w:bottom w:val="none" w:sz="0" w:space="0" w:color="auto"/>
        <w:right w:val="none" w:sz="0" w:space="0" w:color="auto"/>
      </w:divBdr>
    </w:div>
    <w:div w:id="836965707">
      <w:bodyDiv w:val="1"/>
      <w:marLeft w:val="0"/>
      <w:marRight w:val="0"/>
      <w:marTop w:val="0"/>
      <w:marBottom w:val="0"/>
      <w:divBdr>
        <w:top w:val="none" w:sz="0" w:space="0" w:color="auto"/>
        <w:left w:val="none" w:sz="0" w:space="0" w:color="auto"/>
        <w:bottom w:val="none" w:sz="0" w:space="0" w:color="auto"/>
        <w:right w:val="none" w:sz="0" w:space="0" w:color="auto"/>
      </w:divBdr>
    </w:div>
    <w:div w:id="1045564954">
      <w:bodyDiv w:val="1"/>
      <w:marLeft w:val="0"/>
      <w:marRight w:val="0"/>
      <w:marTop w:val="0"/>
      <w:marBottom w:val="0"/>
      <w:divBdr>
        <w:top w:val="none" w:sz="0" w:space="0" w:color="auto"/>
        <w:left w:val="none" w:sz="0" w:space="0" w:color="auto"/>
        <w:bottom w:val="none" w:sz="0" w:space="0" w:color="auto"/>
        <w:right w:val="none" w:sz="0" w:space="0" w:color="auto"/>
      </w:divBdr>
    </w:div>
    <w:div w:id="1190874387">
      <w:bodyDiv w:val="1"/>
      <w:marLeft w:val="0"/>
      <w:marRight w:val="0"/>
      <w:marTop w:val="0"/>
      <w:marBottom w:val="0"/>
      <w:divBdr>
        <w:top w:val="none" w:sz="0" w:space="0" w:color="auto"/>
        <w:left w:val="none" w:sz="0" w:space="0" w:color="auto"/>
        <w:bottom w:val="none" w:sz="0" w:space="0" w:color="auto"/>
        <w:right w:val="none" w:sz="0" w:space="0" w:color="auto"/>
      </w:divBdr>
    </w:div>
    <w:div w:id="1318457041">
      <w:bodyDiv w:val="1"/>
      <w:marLeft w:val="0"/>
      <w:marRight w:val="0"/>
      <w:marTop w:val="0"/>
      <w:marBottom w:val="0"/>
      <w:divBdr>
        <w:top w:val="none" w:sz="0" w:space="0" w:color="auto"/>
        <w:left w:val="none" w:sz="0" w:space="0" w:color="auto"/>
        <w:bottom w:val="none" w:sz="0" w:space="0" w:color="auto"/>
        <w:right w:val="none" w:sz="0" w:space="0" w:color="auto"/>
      </w:divBdr>
    </w:div>
    <w:div w:id="1512720657">
      <w:bodyDiv w:val="1"/>
      <w:marLeft w:val="0"/>
      <w:marRight w:val="0"/>
      <w:marTop w:val="0"/>
      <w:marBottom w:val="0"/>
      <w:divBdr>
        <w:top w:val="none" w:sz="0" w:space="0" w:color="auto"/>
        <w:left w:val="none" w:sz="0" w:space="0" w:color="auto"/>
        <w:bottom w:val="none" w:sz="0" w:space="0" w:color="auto"/>
        <w:right w:val="none" w:sz="0" w:space="0" w:color="auto"/>
      </w:divBdr>
    </w:div>
    <w:div w:id="1560046103">
      <w:bodyDiv w:val="1"/>
      <w:marLeft w:val="0"/>
      <w:marRight w:val="0"/>
      <w:marTop w:val="0"/>
      <w:marBottom w:val="0"/>
      <w:divBdr>
        <w:top w:val="none" w:sz="0" w:space="0" w:color="auto"/>
        <w:left w:val="none" w:sz="0" w:space="0" w:color="auto"/>
        <w:bottom w:val="none" w:sz="0" w:space="0" w:color="auto"/>
        <w:right w:val="none" w:sz="0" w:space="0" w:color="auto"/>
      </w:divBdr>
    </w:div>
    <w:div w:id="1670792002">
      <w:bodyDiv w:val="1"/>
      <w:marLeft w:val="0"/>
      <w:marRight w:val="0"/>
      <w:marTop w:val="0"/>
      <w:marBottom w:val="0"/>
      <w:divBdr>
        <w:top w:val="none" w:sz="0" w:space="0" w:color="auto"/>
        <w:left w:val="none" w:sz="0" w:space="0" w:color="auto"/>
        <w:bottom w:val="none" w:sz="0" w:space="0" w:color="auto"/>
        <w:right w:val="none" w:sz="0" w:space="0" w:color="auto"/>
      </w:divBdr>
    </w:div>
    <w:div w:id="1882936312">
      <w:bodyDiv w:val="1"/>
      <w:marLeft w:val="0"/>
      <w:marRight w:val="0"/>
      <w:marTop w:val="0"/>
      <w:marBottom w:val="0"/>
      <w:divBdr>
        <w:top w:val="none" w:sz="0" w:space="0" w:color="auto"/>
        <w:left w:val="none" w:sz="0" w:space="0" w:color="auto"/>
        <w:bottom w:val="none" w:sz="0" w:space="0" w:color="auto"/>
        <w:right w:val="none" w:sz="0" w:space="0" w:color="auto"/>
      </w:divBdr>
    </w:div>
    <w:div w:id="1893155505">
      <w:bodyDiv w:val="1"/>
      <w:marLeft w:val="0"/>
      <w:marRight w:val="0"/>
      <w:marTop w:val="0"/>
      <w:marBottom w:val="0"/>
      <w:divBdr>
        <w:top w:val="none" w:sz="0" w:space="0" w:color="auto"/>
        <w:left w:val="none" w:sz="0" w:space="0" w:color="auto"/>
        <w:bottom w:val="none" w:sz="0" w:space="0" w:color="auto"/>
        <w:right w:val="none" w:sz="0" w:space="0" w:color="auto"/>
      </w:divBdr>
    </w:div>
    <w:div w:id="21202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5483-12DD-48C3-AB95-F01D7CF2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1820</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Five Year</vt:lpstr>
    </vt:vector>
  </TitlesOfParts>
  <Company>rmh</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dc:title>
  <dc:creator>Neden, Lisa</dc:creator>
  <cp:lastModifiedBy>Davey, Priti</cp:lastModifiedBy>
  <cp:revision>2</cp:revision>
  <cp:lastPrinted>2019-09-11T11:37:00Z</cp:lastPrinted>
  <dcterms:created xsi:type="dcterms:W3CDTF">2020-11-06T12:25:00Z</dcterms:created>
  <dcterms:modified xsi:type="dcterms:W3CDTF">2020-11-06T12:25:00Z</dcterms:modified>
</cp:coreProperties>
</file>