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61C4" w14:textId="77777777" w:rsidR="00617EEA" w:rsidRDefault="00617EEA" w:rsidP="00617EEA">
      <w:pPr>
        <w:jc w:val="center"/>
        <w:rPr>
          <w:b/>
        </w:rPr>
      </w:pPr>
      <w:r w:rsidRPr="00D9542A">
        <w:rPr>
          <w:b/>
        </w:rPr>
        <w:t>Royal Marsden NHS Foundation Trust</w:t>
      </w:r>
      <w:r>
        <w:rPr>
          <w:b/>
        </w:rPr>
        <w:t xml:space="preserve"> </w:t>
      </w:r>
    </w:p>
    <w:p w14:paraId="03195AEC" w14:textId="77777777" w:rsidR="00617EEA" w:rsidRPr="009C6936" w:rsidRDefault="00617EEA" w:rsidP="00617EEA">
      <w:pPr>
        <w:jc w:val="center"/>
        <w:rPr>
          <w:b/>
        </w:rPr>
      </w:pPr>
    </w:p>
    <w:p w14:paraId="7EC1C47B" w14:textId="77777777" w:rsidR="00617EEA" w:rsidRDefault="00617EEA" w:rsidP="00617EEA">
      <w:pPr>
        <w:jc w:val="center"/>
        <w:rPr>
          <w:b/>
        </w:rPr>
      </w:pPr>
      <w:r w:rsidRPr="009C6936">
        <w:rPr>
          <w:b/>
        </w:rPr>
        <w:t>Patient</w:t>
      </w:r>
      <w:r>
        <w:rPr>
          <w:b/>
        </w:rPr>
        <w:t xml:space="preserve"> and Carer Advisory Group</w:t>
      </w:r>
    </w:p>
    <w:p w14:paraId="6A9B9E17" w14:textId="77777777" w:rsidR="00617EEA" w:rsidRDefault="00617EEA" w:rsidP="00617EEA">
      <w:pPr>
        <w:jc w:val="center"/>
        <w:rPr>
          <w:b/>
        </w:rPr>
      </w:pPr>
    </w:p>
    <w:p w14:paraId="6F0CCF6A" w14:textId="77777777" w:rsidR="00617EEA" w:rsidRDefault="00617EEA" w:rsidP="00617EEA">
      <w:pPr>
        <w:jc w:val="center"/>
        <w:rPr>
          <w:rFonts w:eastAsia="Calibri"/>
          <w:b/>
        </w:rPr>
      </w:pPr>
      <w:r w:rsidRPr="00911BAC">
        <w:rPr>
          <w:rFonts w:eastAsia="Calibri"/>
          <w:b/>
        </w:rPr>
        <w:t>Thursday 23 July 2020, 1200-1300, Zoom meeting</w:t>
      </w:r>
    </w:p>
    <w:p w14:paraId="597E0766" w14:textId="77777777" w:rsidR="00617EEA" w:rsidRDefault="00617EEA" w:rsidP="00617EEA">
      <w:pPr>
        <w:jc w:val="center"/>
        <w:rPr>
          <w:rFonts w:eastAsia="Calibri"/>
          <w:b/>
        </w:rPr>
      </w:pPr>
    </w:p>
    <w:p w14:paraId="52EEB17D" w14:textId="41E5703D" w:rsidR="00617EEA" w:rsidRPr="00DA5109" w:rsidRDefault="00617EEA" w:rsidP="00617EEA">
      <w:pPr>
        <w:rPr>
          <w:rFonts w:cs="Times New Roman"/>
        </w:rPr>
      </w:pPr>
      <w:bookmarkStart w:id="0" w:name="_Hlk45699753"/>
      <w:r w:rsidRPr="00DA5109">
        <w:rPr>
          <w:rFonts w:cs="Times New Roman"/>
          <w:b/>
        </w:rPr>
        <w:t>Present</w:t>
      </w:r>
      <w:r w:rsidRPr="00DA5109">
        <w:rPr>
          <w:rFonts w:cs="Times New Roman"/>
        </w:rPr>
        <w:t xml:space="preserve">: </w:t>
      </w:r>
    </w:p>
    <w:p w14:paraId="2A1BF5A8" w14:textId="77777777" w:rsidR="00617EEA" w:rsidRPr="00DA5109" w:rsidRDefault="00617EEA" w:rsidP="00617EEA">
      <w:pPr>
        <w:rPr>
          <w:rFonts w:cs="Times New Roman"/>
          <w:highlight w:val="yellow"/>
        </w:rPr>
      </w:pPr>
    </w:p>
    <w:p w14:paraId="0DAC016E" w14:textId="77777777" w:rsidR="00617EEA" w:rsidRDefault="00617EEA" w:rsidP="00617EEA">
      <w:pPr>
        <w:rPr>
          <w:rFonts w:cs="Times New Roman"/>
        </w:rPr>
      </w:pPr>
      <w:r w:rsidRPr="00DA5109">
        <w:rPr>
          <w:rFonts w:cs="Times New Roman"/>
          <w:b/>
        </w:rPr>
        <w:t>In attendance</w:t>
      </w:r>
      <w:r w:rsidRPr="00DA5109">
        <w:rPr>
          <w:rFonts w:cs="Times New Roman"/>
        </w:rPr>
        <w:t xml:space="preserve">: </w:t>
      </w:r>
      <w:r w:rsidRPr="00A76966">
        <w:rPr>
          <w:rFonts w:cs="Times New Roman"/>
        </w:rPr>
        <w:t>Drew Rayner (DR; Divisional Nurse Director, Clinical Services), Kayleigh Sanderson (KS; Head of Assurance), Dr Markella Boudioni (MB; Patient and Public Involvement &amp; Engagement Lead) and Craig Mortimer (CM; Quality Officer)</w:t>
      </w:r>
    </w:p>
    <w:bookmarkEnd w:id="0"/>
    <w:p w14:paraId="1ABF92CF" w14:textId="77777777" w:rsidR="00617EEA" w:rsidRDefault="00617EEA" w:rsidP="00617EEA">
      <w:pPr>
        <w:rPr>
          <w:rFonts w:cs="Times New Roman"/>
        </w:rPr>
      </w:pPr>
    </w:p>
    <w:p w14:paraId="426FCB5E" w14:textId="77777777" w:rsidR="00617EEA" w:rsidRDefault="00617EEA" w:rsidP="00617EEA"/>
    <w:tbl>
      <w:tblPr>
        <w:tblW w:w="0" w:type="auto"/>
        <w:tblLook w:val="01E0" w:firstRow="1" w:lastRow="1" w:firstColumn="1" w:lastColumn="1" w:noHBand="0" w:noVBand="0"/>
      </w:tblPr>
      <w:tblGrid>
        <w:gridCol w:w="954"/>
        <w:gridCol w:w="7029"/>
        <w:gridCol w:w="855"/>
      </w:tblGrid>
      <w:tr w:rsidR="00617EEA" w14:paraId="39E76FBE" w14:textId="77777777" w:rsidTr="00596184">
        <w:tc>
          <w:tcPr>
            <w:tcW w:w="959" w:type="dxa"/>
            <w:shd w:val="clear" w:color="auto" w:fill="auto"/>
          </w:tcPr>
          <w:p w14:paraId="55D9A984" w14:textId="77777777" w:rsidR="00617EEA" w:rsidRPr="006102B7" w:rsidRDefault="00617EEA" w:rsidP="00596184">
            <w:pPr>
              <w:tabs>
                <w:tab w:val="left" w:pos="-1440"/>
                <w:tab w:val="left" w:pos="-720"/>
                <w:tab w:val="left" w:pos="0"/>
                <w:tab w:val="left" w:pos="1018"/>
                <w:tab w:val="left" w:pos="1440"/>
              </w:tabs>
              <w:suppressAutoHyphens/>
              <w:jc w:val="both"/>
              <w:rPr>
                <w:b/>
                <w:bCs/>
              </w:rPr>
            </w:pPr>
            <w:r>
              <w:rPr>
                <w:b/>
                <w:bCs/>
              </w:rPr>
              <w:t>28</w:t>
            </w:r>
            <w:r w:rsidRPr="007A5F96">
              <w:rPr>
                <w:b/>
                <w:bCs/>
              </w:rPr>
              <w:t>/20</w:t>
            </w:r>
          </w:p>
        </w:tc>
        <w:tc>
          <w:tcPr>
            <w:tcW w:w="7229" w:type="dxa"/>
            <w:shd w:val="clear" w:color="auto" w:fill="auto"/>
          </w:tcPr>
          <w:p w14:paraId="1A491B07" w14:textId="77777777" w:rsidR="00617EEA" w:rsidRPr="00017214" w:rsidRDefault="00617EEA" w:rsidP="00596184">
            <w:pPr>
              <w:pStyle w:val="TOAHeading"/>
              <w:tabs>
                <w:tab w:val="clear" w:pos="9360"/>
              </w:tabs>
              <w:suppressAutoHyphens w:val="0"/>
              <w:rPr>
                <w:rFonts w:ascii="Arial" w:hAnsi="Arial" w:cs="Arial"/>
                <w:bCs/>
                <w:sz w:val="24"/>
                <w:szCs w:val="24"/>
                <w:u w:val="single"/>
              </w:rPr>
            </w:pPr>
            <w:r w:rsidRPr="00017214">
              <w:rPr>
                <w:rFonts w:ascii="Arial" w:hAnsi="Arial" w:cs="Arial"/>
                <w:bCs/>
                <w:sz w:val="24"/>
                <w:szCs w:val="24"/>
                <w:u w:val="single"/>
              </w:rPr>
              <w:t>Welcome and ground rules for management of the Zoom meeting</w:t>
            </w:r>
          </w:p>
        </w:tc>
        <w:tc>
          <w:tcPr>
            <w:tcW w:w="866" w:type="dxa"/>
            <w:shd w:val="clear" w:color="auto" w:fill="auto"/>
          </w:tcPr>
          <w:p w14:paraId="019E8881" w14:textId="77777777" w:rsidR="00617EEA" w:rsidRPr="0012595F" w:rsidRDefault="00617EEA" w:rsidP="00596184">
            <w:pPr>
              <w:rPr>
                <w:b/>
              </w:rPr>
            </w:pPr>
          </w:p>
        </w:tc>
      </w:tr>
      <w:tr w:rsidR="00617EEA" w14:paraId="33FA075E" w14:textId="77777777" w:rsidTr="00596184">
        <w:tc>
          <w:tcPr>
            <w:tcW w:w="959" w:type="dxa"/>
            <w:shd w:val="clear" w:color="auto" w:fill="auto"/>
          </w:tcPr>
          <w:p w14:paraId="7EB68C4F" w14:textId="77777777" w:rsidR="00617EEA" w:rsidRPr="007A5F96" w:rsidRDefault="00617EEA" w:rsidP="00596184">
            <w:pPr>
              <w:rPr>
                <w:b/>
                <w:bCs/>
              </w:rPr>
            </w:pPr>
          </w:p>
        </w:tc>
        <w:tc>
          <w:tcPr>
            <w:tcW w:w="7229" w:type="dxa"/>
            <w:shd w:val="clear" w:color="auto" w:fill="auto"/>
          </w:tcPr>
          <w:p w14:paraId="3C31B886" w14:textId="64E00923" w:rsidR="00617EEA" w:rsidRDefault="004B07CB" w:rsidP="00596184">
            <w:pPr>
              <w:rPr>
                <w:iCs/>
              </w:rPr>
            </w:pPr>
            <w:r>
              <w:rPr>
                <w:iCs/>
                <w:spacing w:val="-3"/>
              </w:rPr>
              <w:t>XX</w:t>
            </w:r>
            <w:r w:rsidR="00617EEA" w:rsidRPr="00B9588D">
              <w:rPr>
                <w:iCs/>
                <w:spacing w:val="-3"/>
              </w:rPr>
              <w:t xml:space="preserve"> (Chair) </w:t>
            </w:r>
            <w:r w:rsidR="00617EEA" w:rsidRPr="00B9588D">
              <w:rPr>
                <w:iCs/>
              </w:rPr>
              <w:t>welcome</w:t>
            </w:r>
            <w:r w:rsidR="00617EEA">
              <w:rPr>
                <w:iCs/>
              </w:rPr>
              <w:t>d</w:t>
            </w:r>
            <w:r w:rsidR="00617EEA" w:rsidRPr="00B9588D">
              <w:rPr>
                <w:iCs/>
              </w:rPr>
              <w:t xml:space="preserve"> members of the Patient and Carer Advisory Group (PCAG) and staff</w:t>
            </w:r>
            <w:r w:rsidR="00617EEA">
              <w:rPr>
                <w:iCs/>
              </w:rPr>
              <w:t xml:space="preserve">. </w:t>
            </w:r>
          </w:p>
          <w:p w14:paraId="5A80B00A" w14:textId="77777777" w:rsidR="00617EEA" w:rsidRPr="00B9588D" w:rsidRDefault="00617EEA" w:rsidP="00596184">
            <w:pPr>
              <w:rPr>
                <w:iCs/>
              </w:rPr>
            </w:pPr>
          </w:p>
          <w:p w14:paraId="15EE54CA" w14:textId="77777777" w:rsidR="00617EEA" w:rsidRPr="000B66C4" w:rsidRDefault="00617EEA" w:rsidP="00596184">
            <w:pPr>
              <w:rPr>
                <w:i/>
              </w:rPr>
            </w:pPr>
            <w:r w:rsidRPr="00B9588D">
              <w:rPr>
                <w:iCs/>
              </w:rPr>
              <w:t>Fiona describe</w:t>
            </w:r>
            <w:r>
              <w:rPr>
                <w:iCs/>
              </w:rPr>
              <w:t>d</w:t>
            </w:r>
            <w:r w:rsidRPr="00B9588D">
              <w:rPr>
                <w:iCs/>
              </w:rPr>
              <w:t xml:space="preserve"> the protocol to follow to support the effective functioning of the meeting online.</w:t>
            </w:r>
          </w:p>
        </w:tc>
        <w:tc>
          <w:tcPr>
            <w:tcW w:w="866" w:type="dxa"/>
            <w:shd w:val="clear" w:color="auto" w:fill="auto"/>
          </w:tcPr>
          <w:p w14:paraId="73378519" w14:textId="77777777" w:rsidR="00617EEA" w:rsidRDefault="00617EEA" w:rsidP="00596184"/>
        </w:tc>
      </w:tr>
      <w:tr w:rsidR="00617EEA" w14:paraId="1CE4DC63" w14:textId="77777777" w:rsidTr="00596184">
        <w:tc>
          <w:tcPr>
            <w:tcW w:w="959" w:type="dxa"/>
            <w:shd w:val="clear" w:color="auto" w:fill="auto"/>
          </w:tcPr>
          <w:p w14:paraId="19F98195" w14:textId="77777777" w:rsidR="00617EEA" w:rsidRPr="007A5F96" w:rsidRDefault="00617EEA" w:rsidP="00596184">
            <w:pPr>
              <w:ind w:left="360"/>
              <w:rPr>
                <w:b/>
                <w:bCs/>
              </w:rPr>
            </w:pPr>
          </w:p>
        </w:tc>
        <w:tc>
          <w:tcPr>
            <w:tcW w:w="7229" w:type="dxa"/>
            <w:shd w:val="clear" w:color="auto" w:fill="auto"/>
          </w:tcPr>
          <w:p w14:paraId="13ED0234" w14:textId="77777777" w:rsidR="00617EEA" w:rsidRPr="0012595F" w:rsidRDefault="00617EEA" w:rsidP="00596184">
            <w:pPr>
              <w:pStyle w:val="PlainText"/>
              <w:rPr>
                <w:b/>
                <w:spacing w:val="-3"/>
              </w:rPr>
            </w:pPr>
          </w:p>
        </w:tc>
        <w:tc>
          <w:tcPr>
            <w:tcW w:w="866" w:type="dxa"/>
            <w:shd w:val="clear" w:color="auto" w:fill="auto"/>
          </w:tcPr>
          <w:p w14:paraId="067A4CE7" w14:textId="77777777" w:rsidR="00617EEA" w:rsidRDefault="00617EEA" w:rsidP="00596184"/>
        </w:tc>
      </w:tr>
      <w:tr w:rsidR="00617EEA" w14:paraId="493EC865" w14:textId="77777777" w:rsidTr="00596184">
        <w:tc>
          <w:tcPr>
            <w:tcW w:w="959" w:type="dxa"/>
            <w:shd w:val="clear" w:color="auto" w:fill="auto"/>
          </w:tcPr>
          <w:p w14:paraId="12E78AB9" w14:textId="77777777" w:rsidR="00617EEA" w:rsidRPr="007A5F96" w:rsidRDefault="00617EEA" w:rsidP="00596184">
            <w:pPr>
              <w:rPr>
                <w:b/>
                <w:bCs/>
              </w:rPr>
            </w:pPr>
            <w:r>
              <w:rPr>
                <w:b/>
                <w:bCs/>
              </w:rPr>
              <w:t>29/20</w:t>
            </w:r>
          </w:p>
        </w:tc>
        <w:tc>
          <w:tcPr>
            <w:tcW w:w="7229" w:type="dxa"/>
            <w:shd w:val="clear" w:color="auto" w:fill="auto"/>
          </w:tcPr>
          <w:p w14:paraId="57C19CFE" w14:textId="77777777" w:rsidR="00617EEA" w:rsidRPr="00017214" w:rsidRDefault="00617EEA" w:rsidP="00596184">
            <w:pPr>
              <w:tabs>
                <w:tab w:val="left" w:pos="-1440"/>
                <w:tab w:val="left" w:pos="-720"/>
                <w:tab w:val="left" w:pos="0"/>
                <w:tab w:val="left" w:pos="1440"/>
              </w:tabs>
              <w:suppressAutoHyphens/>
              <w:rPr>
                <w:bCs/>
                <w:spacing w:val="-3"/>
                <w:u w:val="single"/>
              </w:rPr>
            </w:pPr>
            <w:r w:rsidRPr="00017214">
              <w:rPr>
                <w:bCs/>
                <w:spacing w:val="-3"/>
                <w:u w:val="single"/>
              </w:rPr>
              <w:t>Notes of June 2020 for agreement</w:t>
            </w:r>
          </w:p>
        </w:tc>
        <w:tc>
          <w:tcPr>
            <w:tcW w:w="866" w:type="dxa"/>
            <w:shd w:val="clear" w:color="auto" w:fill="auto"/>
          </w:tcPr>
          <w:p w14:paraId="39B0A88C" w14:textId="77777777" w:rsidR="00617EEA" w:rsidRDefault="00617EEA" w:rsidP="00596184"/>
        </w:tc>
      </w:tr>
      <w:tr w:rsidR="00617EEA" w14:paraId="6B0E84D6" w14:textId="77777777" w:rsidTr="00596184">
        <w:tc>
          <w:tcPr>
            <w:tcW w:w="959" w:type="dxa"/>
            <w:shd w:val="clear" w:color="auto" w:fill="auto"/>
          </w:tcPr>
          <w:p w14:paraId="089A93C0" w14:textId="77777777" w:rsidR="00617EEA" w:rsidRDefault="00617EEA" w:rsidP="00596184">
            <w:pPr>
              <w:rPr>
                <w:b/>
                <w:bCs/>
              </w:rPr>
            </w:pPr>
          </w:p>
        </w:tc>
        <w:tc>
          <w:tcPr>
            <w:tcW w:w="7229" w:type="dxa"/>
            <w:shd w:val="clear" w:color="auto" w:fill="auto"/>
          </w:tcPr>
          <w:p w14:paraId="2D22E40C" w14:textId="77777777" w:rsidR="00617EEA" w:rsidRPr="00017214" w:rsidRDefault="00617EEA" w:rsidP="00596184">
            <w:pPr>
              <w:tabs>
                <w:tab w:val="left" w:pos="-1440"/>
                <w:tab w:val="left" w:pos="-720"/>
                <w:tab w:val="left" w:pos="0"/>
                <w:tab w:val="left" w:pos="1440"/>
              </w:tabs>
              <w:suppressAutoHyphens/>
              <w:rPr>
                <w:bCs/>
                <w:spacing w:val="-3"/>
              </w:rPr>
            </w:pPr>
            <w:r w:rsidRPr="00017214">
              <w:rPr>
                <w:bCs/>
                <w:spacing w:val="-3"/>
              </w:rPr>
              <w:t>The meeting agreed the notes as correct for the June meeting, split between Wednesday 17 and Friday 30 June 2020.</w:t>
            </w:r>
          </w:p>
        </w:tc>
        <w:tc>
          <w:tcPr>
            <w:tcW w:w="866" w:type="dxa"/>
            <w:shd w:val="clear" w:color="auto" w:fill="auto"/>
          </w:tcPr>
          <w:p w14:paraId="2E937C26" w14:textId="77777777" w:rsidR="00617EEA" w:rsidRDefault="00617EEA" w:rsidP="00596184"/>
        </w:tc>
      </w:tr>
      <w:tr w:rsidR="00617EEA" w14:paraId="13F4BFAE" w14:textId="77777777" w:rsidTr="00596184">
        <w:tc>
          <w:tcPr>
            <w:tcW w:w="959" w:type="dxa"/>
            <w:shd w:val="clear" w:color="auto" w:fill="auto"/>
          </w:tcPr>
          <w:p w14:paraId="270AE713" w14:textId="77777777" w:rsidR="00617EEA" w:rsidRPr="007A5F96" w:rsidRDefault="00617EEA" w:rsidP="00596184">
            <w:pPr>
              <w:rPr>
                <w:b/>
                <w:bCs/>
              </w:rPr>
            </w:pPr>
          </w:p>
        </w:tc>
        <w:tc>
          <w:tcPr>
            <w:tcW w:w="7229" w:type="dxa"/>
            <w:shd w:val="clear" w:color="auto" w:fill="auto"/>
          </w:tcPr>
          <w:p w14:paraId="684F9BF1" w14:textId="77777777" w:rsidR="00617EEA" w:rsidRPr="0012595F" w:rsidRDefault="00617EEA" w:rsidP="00596184">
            <w:pPr>
              <w:tabs>
                <w:tab w:val="left" w:pos="-1440"/>
                <w:tab w:val="left" w:pos="-720"/>
                <w:tab w:val="left" w:pos="0"/>
                <w:tab w:val="left" w:pos="1440"/>
              </w:tabs>
              <w:suppressAutoHyphens/>
              <w:rPr>
                <w:b/>
                <w:spacing w:val="-3"/>
              </w:rPr>
            </w:pPr>
          </w:p>
        </w:tc>
        <w:tc>
          <w:tcPr>
            <w:tcW w:w="866" w:type="dxa"/>
            <w:shd w:val="clear" w:color="auto" w:fill="auto"/>
          </w:tcPr>
          <w:p w14:paraId="511E56CC" w14:textId="77777777" w:rsidR="00617EEA" w:rsidRDefault="00617EEA" w:rsidP="00596184"/>
        </w:tc>
      </w:tr>
      <w:tr w:rsidR="00617EEA" w14:paraId="5D87CC18" w14:textId="77777777" w:rsidTr="00596184">
        <w:tc>
          <w:tcPr>
            <w:tcW w:w="959" w:type="dxa"/>
            <w:shd w:val="clear" w:color="auto" w:fill="auto"/>
          </w:tcPr>
          <w:p w14:paraId="2F6A3B72" w14:textId="77777777" w:rsidR="00617EEA" w:rsidRPr="007A5F96" w:rsidRDefault="00617EEA" w:rsidP="00596184">
            <w:pPr>
              <w:rPr>
                <w:b/>
                <w:bCs/>
              </w:rPr>
            </w:pPr>
            <w:r>
              <w:rPr>
                <w:b/>
                <w:bCs/>
              </w:rPr>
              <w:t>30/20</w:t>
            </w:r>
          </w:p>
        </w:tc>
        <w:tc>
          <w:tcPr>
            <w:tcW w:w="7229" w:type="dxa"/>
            <w:shd w:val="clear" w:color="auto" w:fill="auto"/>
          </w:tcPr>
          <w:p w14:paraId="197757F6" w14:textId="77777777" w:rsidR="00617EEA" w:rsidRPr="00017214" w:rsidRDefault="00617EEA" w:rsidP="00596184">
            <w:pPr>
              <w:tabs>
                <w:tab w:val="left" w:pos="-1440"/>
                <w:tab w:val="left" w:pos="-720"/>
                <w:tab w:val="left" w:pos="0"/>
                <w:tab w:val="left" w:pos="1440"/>
              </w:tabs>
              <w:suppressAutoHyphens/>
              <w:rPr>
                <w:bCs/>
                <w:u w:val="single"/>
              </w:rPr>
            </w:pPr>
            <w:r w:rsidRPr="00017214">
              <w:rPr>
                <w:bCs/>
                <w:u w:val="single"/>
              </w:rPr>
              <w:t>Matters arising</w:t>
            </w:r>
          </w:p>
        </w:tc>
        <w:tc>
          <w:tcPr>
            <w:tcW w:w="866" w:type="dxa"/>
            <w:shd w:val="clear" w:color="auto" w:fill="auto"/>
          </w:tcPr>
          <w:p w14:paraId="12764027" w14:textId="77777777" w:rsidR="00617EEA" w:rsidRDefault="00617EEA" w:rsidP="00596184"/>
        </w:tc>
      </w:tr>
      <w:tr w:rsidR="00617EEA" w14:paraId="0605FF9F" w14:textId="77777777" w:rsidTr="00596184">
        <w:tc>
          <w:tcPr>
            <w:tcW w:w="959" w:type="dxa"/>
            <w:shd w:val="clear" w:color="auto" w:fill="auto"/>
          </w:tcPr>
          <w:p w14:paraId="3DAD89D6" w14:textId="77777777" w:rsidR="00617EEA" w:rsidRDefault="00617EEA" w:rsidP="00596184">
            <w:pPr>
              <w:rPr>
                <w:b/>
                <w:bCs/>
              </w:rPr>
            </w:pPr>
          </w:p>
        </w:tc>
        <w:tc>
          <w:tcPr>
            <w:tcW w:w="7229" w:type="dxa"/>
            <w:shd w:val="clear" w:color="auto" w:fill="auto"/>
          </w:tcPr>
          <w:p w14:paraId="458DBDC5" w14:textId="77777777" w:rsidR="00617EEA" w:rsidRPr="007A5F96" w:rsidRDefault="00617EEA" w:rsidP="00596184">
            <w:pPr>
              <w:tabs>
                <w:tab w:val="left" w:pos="-1440"/>
                <w:tab w:val="left" w:pos="-720"/>
                <w:tab w:val="left" w:pos="0"/>
                <w:tab w:val="left" w:pos="1440"/>
              </w:tabs>
              <w:suppressAutoHyphens/>
              <w:rPr>
                <w:bCs/>
                <w:i/>
                <w:iCs/>
              </w:rPr>
            </w:pPr>
            <w:r w:rsidRPr="007A5F96">
              <w:rPr>
                <w:bCs/>
                <w:i/>
                <w:iCs/>
              </w:rPr>
              <w:t>None</w:t>
            </w:r>
          </w:p>
        </w:tc>
        <w:tc>
          <w:tcPr>
            <w:tcW w:w="866" w:type="dxa"/>
            <w:shd w:val="clear" w:color="auto" w:fill="auto"/>
          </w:tcPr>
          <w:p w14:paraId="69B5FF0A" w14:textId="77777777" w:rsidR="00617EEA" w:rsidRDefault="00617EEA" w:rsidP="00596184"/>
        </w:tc>
      </w:tr>
      <w:tr w:rsidR="00617EEA" w14:paraId="2DCF71FB" w14:textId="77777777" w:rsidTr="00596184">
        <w:tc>
          <w:tcPr>
            <w:tcW w:w="959" w:type="dxa"/>
            <w:shd w:val="clear" w:color="auto" w:fill="auto"/>
          </w:tcPr>
          <w:p w14:paraId="2F2C3A33" w14:textId="77777777" w:rsidR="00617EEA" w:rsidRPr="007A5F96" w:rsidRDefault="00617EEA" w:rsidP="00596184">
            <w:pPr>
              <w:rPr>
                <w:b/>
                <w:bCs/>
              </w:rPr>
            </w:pPr>
          </w:p>
        </w:tc>
        <w:tc>
          <w:tcPr>
            <w:tcW w:w="7229" w:type="dxa"/>
            <w:shd w:val="clear" w:color="auto" w:fill="auto"/>
          </w:tcPr>
          <w:p w14:paraId="4EC17C49" w14:textId="77777777" w:rsidR="00617EEA" w:rsidRPr="009162ED" w:rsidRDefault="00617EEA" w:rsidP="00596184">
            <w:pPr>
              <w:tabs>
                <w:tab w:val="left" w:pos="-1440"/>
                <w:tab w:val="left" w:pos="-720"/>
                <w:tab w:val="left" w:pos="0"/>
                <w:tab w:val="left" w:pos="1440"/>
              </w:tabs>
              <w:suppressAutoHyphens/>
              <w:rPr>
                <w:u w:val="single"/>
              </w:rPr>
            </w:pPr>
          </w:p>
        </w:tc>
        <w:tc>
          <w:tcPr>
            <w:tcW w:w="866" w:type="dxa"/>
            <w:shd w:val="clear" w:color="auto" w:fill="auto"/>
          </w:tcPr>
          <w:p w14:paraId="6FC9DA7A" w14:textId="77777777" w:rsidR="00617EEA" w:rsidRDefault="00617EEA" w:rsidP="00596184"/>
        </w:tc>
      </w:tr>
      <w:tr w:rsidR="00617EEA" w14:paraId="346FA83C" w14:textId="77777777" w:rsidTr="00596184">
        <w:tc>
          <w:tcPr>
            <w:tcW w:w="959" w:type="dxa"/>
            <w:shd w:val="clear" w:color="auto" w:fill="auto"/>
          </w:tcPr>
          <w:p w14:paraId="0A54872C" w14:textId="77777777" w:rsidR="00617EEA" w:rsidRDefault="00617EEA" w:rsidP="00596184">
            <w:pPr>
              <w:rPr>
                <w:b/>
                <w:bCs/>
              </w:rPr>
            </w:pPr>
            <w:r>
              <w:rPr>
                <w:b/>
                <w:bCs/>
              </w:rPr>
              <w:t>31</w:t>
            </w:r>
            <w:r w:rsidRPr="004B110A">
              <w:rPr>
                <w:b/>
                <w:bCs/>
              </w:rPr>
              <w:t>/20</w:t>
            </w:r>
          </w:p>
        </w:tc>
        <w:tc>
          <w:tcPr>
            <w:tcW w:w="7229" w:type="dxa"/>
            <w:shd w:val="clear" w:color="auto" w:fill="auto"/>
          </w:tcPr>
          <w:p w14:paraId="67D2666B" w14:textId="77777777" w:rsidR="00617EEA" w:rsidRPr="004B110A" w:rsidRDefault="00617EEA" w:rsidP="00596184">
            <w:pPr>
              <w:tabs>
                <w:tab w:val="left" w:pos="-1440"/>
                <w:tab w:val="left" w:pos="-720"/>
                <w:tab w:val="left" w:pos="0"/>
                <w:tab w:val="left" w:pos="1440"/>
              </w:tabs>
              <w:suppressAutoHyphens/>
              <w:rPr>
                <w:bCs/>
                <w:spacing w:val="-3"/>
                <w:u w:val="single"/>
              </w:rPr>
            </w:pPr>
            <w:r w:rsidRPr="009D403E">
              <w:rPr>
                <w:bCs/>
                <w:spacing w:val="-3"/>
                <w:u w:val="single"/>
              </w:rPr>
              <w:t>Covid-19 service changes - maintaining good patient experience</w:t>
            </w:r>
          </w:p>
        </w:tc>
        <w:tc>
          <w:tcPr>
            <w:tcW w:w="866" w:type="dxa"/>
            <w:shd w:val="clear" w:color="auto" w:fill="auto"/>
          </w:tcPr>
          <w:p w14:paraId="0DB002FF" w14:textId="77777777" w:rsidR="00617EEA" w:rsidRDefault="00617EEA" w:rsidP="00596184"/>
        </w:tc>
      </w:tr>
      <w:tr w:rsidR="00617EEA" w14:paraId="6EA3F60C" w14:textId="77777777" w:rsidTr="00596184">
        <w:tc>
          <w:tcPr>
            <w:tcW w:w="959" w:type="dxa"/>
            <w:shd w:val="clear" w:color="auto" w:fill="auto"/>
          </w:tcPr>
          <w:p w14:paraId="3A95D718" w14:textId="77777777" w:rsidR="00617EEA" w:rsidRPr="007A5F96" w:rsidRDefault="00617EEA" w:rsidP="00596184">
            <w:pPr>
              <w:rPr>
                <w:b/>
                <w:bCs/>
              </w:rPr>
            </w:pPr>
          </w:p>
        </w:tc>
        <w:tc>
          <w:tcPr>
            <w:tcW w:w="7229" w:type="dxa"/>
            <w:shd w:val="clear" w:color="auto" w:fill="auto"/>
          </w:tcPr>
          <w:p w14:paraId="216990A2" w14:textId="3E13D9A8" w:rsidR="00617EEA" w:rsidRPr="0067654C" w:rsidRDefault="004B07CB" w:rsidP="00596184">
            <w:pPr>
              <w:tabs>
                <w:tab w:val="left" w:pos="-1440"/>
                <w:tab w:val="left" w:pos="-720"/>
                <w:tab w:val="left" w:pos="0"/>
                <w:tab w:val="left" w:pos="1440"/>
              </w:tabs>
              <w:suppressAutoHyphens/>
              <w:rPr>
                <w:iCs/>
                <w:spacing w:val="-3"/>
              </w:rPr>
            </w:pPr>
            <w:r>
              <w:rPr>
                <w:iCs/>
                <w:spacing w:val="-3"/>
              </w:rPr>
              <w:t>XX</w:t>
            </w:r>
            <w:r w:rsidR="00617EEA" w:rsidRPr="0067654C">
              <w:rPr>
                <w:iCs/>
                <w:spacing w:val="-3"/>
              </w:rPr>
              <w:t xml:space="preserve"> invited Drew Rayner to update the meeting about the Trust’s response to the Covid-19 pandemic. </w:t>
            </w:r>
          </w:p>
          <w:p w14:paraId="69DE5351" w14:textId="77777777" w:rsidR="00617EEA" w:rsidRPr="0067654C" w:rsidRDefault="00617EEA" w:rsidP="00596184">
            <w:pPr>
              <w:tabs>
                <w:tab w:val="left" w:pos="-1440"/>
                <w:tab w:val="left" w:pos="-720"/>
                <w:tab w:val="left" w:pos="0"/>
                <w:tab w:val="left" w:pos="1440"/>
              </w:tabs>
              <w:suppressAutoHyphens/>
              <w:rPr>
                <w:iCs/>
                <w:spacing w:val="-3"/>
              </w:rPr>
            </w:pPr>
          </w:p>
          <w:p w14:paraId="112F3AAC"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 xml:space="preserve">Urgent surgery has not been delayed.  There are waits for non-clinically urgent surgery including plastic surgery.  The Trust has been able to carry out surgery throughout the pandemic so far.  There is not a big backlog for radiotherapy.  There is a backlog for surveillance scanning which will take 6-8 weeks to recover from.  There is not a significant backlog for chemotherapy.  There is a backlog for endoscopy caused </w:t>
            </w:r>
            <w:r w:rsidR="0067654C" w:rsidRPr="0067654C">
              <w:rPr>
                <w:iCs/>
                <w:spacing w:val="-3"/>
              </w:rPr>
              <w:t>by</w:t>
            </w:r>
            <w:r w:rsidRPr="0067654C">
              <w:rPr>
                <w:iCs/>
                <w:spacing w:val="-3"/>
              </w:rPr>
              <w:t xml:space="preserve"> closing the service for 8 weeks due to the particular risk of the procedure which produces an aerosol that could aid Covid-19 transmission.  A lot of endoscopy is for surveillance.  Urgent cases have restarted with enhanced personal protective equipment (PPE) for staff and shielding of the patient for 2 weeks before the procedure.  There is a 2-week backlog for urgent diagnostic endoscopy.  The non-urgent and surveillance backlog has been risk assessed and rated.</w:t>
            </w:r>
          </w:p>
          <w:p w14:paraId="5BEA8FB5" w14:textId="77777777" w:rsidR="00617EEA" w:rsidRPr="0067654C" w:rsidRDefault="00617EEA" w:rsidP="00596184">
            <w:pPr>
              <w:tabs>
                <w:tab w:val="left" w:pos="-1440"/>
                <w:tab w:val="left" w:pos="-720"/>
                <w:tab w:val="left" w:pos="0"/>
                <w:tab w:val="left" w:pos="1440"/>
              </w:tabs>
              <w:suppressAutoHyphens/>
              <w:rPr>
                <w:iCs/>
                <w:spacing w:val="-3"/>
              </w:rPr>
            </w:pPr>
          </w:p>
          <w:p w14:paraId="5097E792"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lastRenderedPageBreak/>
              <w:t>Patients are less fearful now than initially in the pandemic. Face-to-face contacts have been reduced through the use of telephone and video calls for consultations, which continue to be used.  However, most initial appointments are held face to face and patients can be invited in for a face-to-face appointment particularly if the patient is anxious.  A friend /carer is now allowed to support anxious patients. Clinical Nurse Specialists and the psychological care team have also increased support for anxiety. Members noted that patients are not necessarily against receiving bad news by the telephone rather than in person. All patients should ideally be able to choose the fo</w:t>
            </w:r>
            <w:r w:rsidR="0067654C" w:rsidRPr="0067654C">
              <w:rPr>
                <w:iCs/>
                <w:spacing w:val="-3"/>
              </w:rPr>
              <w:t>r</w:t>
            </w:r>
            <w:r w:rsidRPr="0067654C">
              <w:rPr>
                <w:iCs/>
                <w:spacing w:val="-3"/>
              </w:rPr>
              <w:t xml:space="preserve">mat of consultation they prefer if clinically acceptable.  Markella Boudioni noted that two PCAG reps are members of a newly formed virtual consultation group, with more patient involvement welcomed. </w:t>
            </w:r>
          </w:p>
          <w:p w14:paraId="6E9BBD8E"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 xml:space="preserve"> </w:t>
            </w:r>
          </w:p>
          <w:p w14:paraId="67C3D18B"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Written information is posted out on request.</w:t>
            </w:r>
          </w:p>
          <w:p w14:paraId="5E4A9D22" w14:textId="77777777" w:rsidR="00617EEA" w:rsidRPr="0067654C" w:rsidRDefault="00617EEA" w:rsidP="00596184">
            <w:pPr>
              <w:tabs>
                <w:tab w:val="left" w:pos="-1440"/>
                <w:tab w:val="left" w:pos="-720"/>
                <w:tab w:val="left" w:pos="0"/>
                <w:tab w:val="left" w:pos="1440"/>
              </w:tabs>
              <w:suppressAutoHyphens/>
              <w:rPr>
                <w:iCs/>
                <w:spacing w:val="-3"/>
              </w:rPr>
            </w:pPr>
          </w:p>
          <w:p w14:paraId="6F7B00CF"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The segregation of the hospital was described with the Green pathway for planned care arranged on a</w:t>
            </w:r>
            <w:r w:rsidRPr="0067654C">
              <w:t xml:space="preserve"> </w:t>
            </w:r>
            <w:r w:rsidRPr="0067654C">
              <w:rPr>
                <w:iCs/>
                <w:spacing w:val="-3"/>
              </w:rPr>
              <w:t>priority basis.  The blue pathway is for non-planned care. Screening and temperature checks are for Green pathway patients.</w:t>
            </w:r>
          </w:p>
          <w:p w14:paraId="5CDAEEC6" w14:textId="77777777" w:rsidR="00617EEA" w:rsidRPr="0067654C" w:rsidRDefault="00617EEA" w:rsidP="00596184">
            <w:pPr>
              <w:tabs>
                <w:tab w:val="left" w:pos="-1440"/>
                <w:tab w:val="left" w:pos="-720"/>
                <w:tab w:val="left" w:pos="0"/>
                <w:tab w:val="left" w:pos="1440"/>
              </w:tabs>
              <w:suppressAutoHyphens/>
              <w:rPr>
                <w:iCs/>
                <w:spacing w:val="-3"/>
              </w:rPr>
            </w:pPr>
          </w:p>
          <w:p w14:paraId="5606F938"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The meeting expressed the view that continuity of clinician is even more important when carrying out consultations by telephone or online video.  Drew will ask the Divisional Director for Cancer Care whether the clinical teams are trying to have the same clinician contacting individual patients.</w:t>
            </w:r>
          </w:p>
          <w:p w14:paraId="6493CAA2" w14:textId="77777777" w:rsidR="00617EEA" w:rsidRPr="0067654C" w:rsidRDefault="00617EEA" w:rsidP="00596184">
            <w:pPr>
              <w:tabs>
                <w:tab w:val="left" w:pos="-1440"/>
                <w:tab w:val="left" w:pos="-720"/>
                <w:tab w:val="left" w:pos="0"/>
                <w:tab w:val="left" w:pos="1440"/>
              </w:tabs>
              <w:suppressAutoHyphens/>
              <w:rPr>
                <w:iCs/>
                <w:spacing w:val="-3"/>
              </w:rPr>
            </w:pPr>
          </w:p>
          <w:p w14:paraId="14D19B45"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Most support services such as physiotherapy are running for inpatients, but not yet for outpatients.  Physiotherapy will start to be reintroduced for outpatients when gyms are allowed to reopen.  Lymphoedema therapy is harder to provide virtually with exercises sent out.</w:t>
            </w:r>
          </w:p>
          <w:p w14:paraId="483E678E" w14:textId="77777777" w:rsidR="00617EEA" w:rsidRPr="0067654C" w:rsidRDefault="00617EEA" w:rsidP="00596184">
            <w:pPr>
              <w:tabs>
                <w:tab w:val="left" w:pos="-1440"/>
                <w:tab w:val="left" w:pos="-720"/>
                <w:tab w:val="left" w:pos="0"/>
                <w:tab w:val="left" w:pos="1440"/>
              </w:tabs>
              <w:suppressAutoHyphens/>
              <w:rPr>
                <w:iCs/>
                <w:spacing w:val="-3"/>
              </w:rPr>
            </w:pPr>
          </w:p>
          <w:p w14:paraId="1D1782FD"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Use of the Royal Marsden Macmillan Hotline has increased during the pandemic from 2600 to 3700 calls a month at the pandemic peak.</w:t>
            </w:r>
          </w:p>
          <w:p w14:paraId="2A08D391" w14:textId="77777777" w:rsidR="00617EEA" w:rsidRPr="0067654C" w:rsidRDefault="00617EEA" w:rsidP="00596184">
            <w:pPr>
              <w:tabs>
                <w:tab w:val="left" w:pos="-1440"/>
                <w:tab w:val="left" w:pos="-720"/>
                <w:tab w:val="left" w:pos="0"/>
                <w:tab w:val="left" w:pos="1440"/>
              </w:tabs>
              <w:suppressAutoHyphens/>
              <w:rPr>
                <w:iCs/>
                <w:spacing w:val="-3"/>
              </w:rPr>
            </w:pPr>
          </w:p>
          <w:p w14:paraId="2FA9293C"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There was discussion of transport services, parking, refreshment provision and availability of sanitiser dispensers.  Toilets are now being cleaned at double the rate of that before the pandemic.</w:t>
            </w:r>
          </w:p>
          <w:p w14:paraId="079FA82F" w14:textId="77777777" w:rsidR="00617EEA" w:rsidRPr="0067654C" w:rsidRDefault="00617EEA" w:rsidP="00596184">
            <w:pPr>
              <w:tabs>
                <w:tab w:val="left" w:pos="-1440"/>
                <w:tab w:val="left" w:pos="-720"/>
                <w:tab w:val="left" w:pos="0"/>
                <w:tab w:val="left" w:pos="1440"/>
              </w:tabs>
              <w:suppressAutoHyphens/>
              <w:rPr>
                <w:iCs/>
                <w:spacing w:val="-3"/>
              </w:rPr>
            </w:pPr>
          </w:p>
          <w:p w14:paraId="1303CE32"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A reduction in number of international patients has made more space available for NHS patients and separation of clinical pathways.</w:t>
            </w:r>
          </w:p>
          <w:p w14:paraId="140A13B5" w14:textId="77777777" w:rsidR="00617EEA" w:rsidRPr="0067654C" w:rsidRDefault="00617EEA" w:rsidP="00596184">
            <w:pPr>
              <w:tabs>
                <w:tab w:val="left" w:pos="-1440"/>
                <w:tab w:val="left" w:pos="-720"/>
                <w:tab w:val="left" w:pos="0"/>
                <w:tab w:val="left" w:pos="1440"/>
              </w:tabs>
              <w:suppressAutoHyphens/>
              <w:rPr>
                <w:iCs/>
                <w:spacing w:val="-3"/>
              </w:rPr>
            </w:pPr>
          </w:p>
          <w:p w14:paraId="61A2BB6D"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Drew will share with PCAG a wall infographic that outlines what happens at each stage of the chemotherapy treatment pathway.</w:t>
            </w:r>
          </w:p>
          <w:p w14:paraId="3AFD3909" w14:textId="77777777" w:rsidR="00617EEA" w:rsidRPr="0067654C" w:rsidRDefault="00617EEA" w:rsidP="00596184">
            <w:pPr>
              <w:tabs>
                <w:tab w:val="left" w:pos="-1440"/>
                <w:tab w:val="left" w:pos="-720"/>
                <w:tab w:val="left" w:pos="0"/>
                <w:tab w:val="left" w:pos="1440"/>
              </w:tabs>
              <w:suppressAutoHyphens/>
              <w:rPr>
                <w:iCs/>
                <w:spacing w:val="-3"/>
              </w:rPr>
            </w:pPr>
          </w:p>
          <w:p w14:paraId="1F81F273"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Drew will also check what information is being given to patients before visiting about non-clinical services such as availability of catering.</w:t>
            </w:r>
          </w:p>
          <w:p w14:paraId="573EF9FF" w14:textId="77777777" w:rsidR="00617EEA" w:rsidRPr="0067654C" w:rsidRDefault="00617EEA" w:rsidP="00596184">
            <w:pPr>
              <w:tabs>
                <w:tab w:val="left" w:pos="-1440"/>
                <w:tab w:val="left" w:pos="-720"/>
                <w:tab w:val="left" w:pos="0"/>
                <w:tab w:val="left" w:pos="1440"/>
              </w:tabs>
              <w:suppressAutoHyphens/>
              <w:rPr>
                <w:iCs/>
                <w:spacing w:val="-3"/>
              </w:rPr>
            </w:pPr>
          </w:p>
          <w:p w14:paraId="26098BC6"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Recycling is still happening, but excess PPE waste is making it difficult to recycle all possible items.</w:t>
            </w:r>
          </w:p>
          <w:p w14:paraId="5743E021" w14:textId="77777777" w:rsidR="00617EEA" w:rsidRPr="0067654C" w:rsidRDefault="00617EEA" w:rsidP="00596184">
            <w:pPr>
              <w:tabs>
                <w:tab w:val="left" w:pos="-1440"/>
                <w:tab w:val="left" w:pos="-720"/>
                <w:tab w:val="left" w:pos="0"/>
                <w:tab w:val="left" w:pos="1440"/>
              </w:tabs>
              <w:suppressAutoHyphens/>
              <w:rPr>
                <w:iCs/>
                <w:spacing w:val="-3"/>
              </w:rPr>
            </w:pPr>
          </w:p>
          <w:p w14:paraId="61FA2A7A" w14:textId="77777777" w:rsidR="00617EEA" w:rsidRPr="0067654C" w:rsidRDefault="00617EEA" w:rsidP="00596184">
            <w:pPr>
              <w:tabs>
                <w:tab w:val="left" w:pos="-1440"/>
                <w:tab w:val="left" w:pos="-720"/>
                <w:tab w:val="left" w:pos="0"/>
                <w:tab w:val="left" w:pos="1440"/>
              </w:tabs>
              <w:suppressAutoHyphens/>
              <w:rPr>
                <w:iCs/>
                <w:spacing w:val="-3"/>
              </w:rPr>
            </w:pPr>
            <w:r w:rsidRPr="0067654C">
              <w:rPr>
                <w:iCs/>
                <w:spacing w:val="-3"/>
              </w:rPr>
              <w:t>The great amount of learning by the Trust was noted with the hope that it is used to make positive changes.  Drew acknowledged the very challenging time.  The Trust will be more prepared for any second wave</w:t>
            </w:r>
            <w:r w:rsidR="0067654C" w:rsidRPr="0067654C">
              <w:rPr>
                <w:iCs/>
                <w:spacing w:val="-3"/>
              </w:rPr>
              <w:t>.</w:t>
            </w:r>
          </w:p>
        </w:tc>
        <w:tc>
          <w:tcPr>
            <w:tcW w:w="866" w:type="dxa"/>
            <w:shd w:val="clear" w:color="auto" w:fill="auto"/>
          </w:tcPr>
          <w:p w14:paraId="553C7804" w14:textId="77777777" w:rsidR="00617EEA" w:rsidRDefault="00617EEA" w:rsidP="00596184"/>
          <w:p w14:paraId="0BD5084C" w14:textId="77777777" w:rsidR="00617EEA" w:rsidRDefault="00617EEA" w:rsidP="00596184"/>
          <w:p w14:paraId="06AC1318" w14:textId="77777777" w:rsidR="00617EEA" w:rsidRDefault="00617EEA" w:rsidP="00596184"/>
          <w:p w14:paraId="12653E23" w14:textId="77777777" w:rsidR="00617EEA" w:rsidRDefault="00617EEA" w:rsidP="00596184"/>
          <w:p w14:paraId="510D83F4" w14:textId="77777777" w:rsidR="00617EEA" w:rsidRDefault="00617EEA" w:rsidP="00596184"/>
          <w:p w14:paraId="0E8C0D2C" w14:textId="77777777" w:rsidR="00617EEA" w:rsidRDefault="00617EEA" w:rsidP="00596184"/>
          <w:p w14:paraId="2DE2092F" w14:textId="77777777" w:rsidR="00617EEA" w:rsidRDefault="00617EEA" w:rsidP="00596184"/>
          <w:p w14:paraId="53870C64" w14:textId="77777777" w:rsidR="00617EEA" w:rsidRDefault="00617EEA" w:rsidP="00596184"/>
          <w:p w14:paraId="7EF33AA1" w14:textId="77777777" w:rsidR="00617EEA" w:rsidRDefault="00617EEA" w:rsidP="00596184"/>
          <w:p w14:paraId="541D3EAE" w14:textId="77777777" w:rsidR="00617EEA" w:rsidRDefault="00617EEA" w:rsidP="00596184"/>
          <w:p w14:paraId="00FA6D5C" w14:textId="77777777" w:rsidR="00617EEA" w:rsidRDefault="00617EEA" w:rsidP="00596184"/>
          <w:p w14:paraId="2242153A" w14:textId="77777777" w:rsidR="00617EEA" w:rsidRDefault="00617EEA" w:rsidP="00596184"/>
          <w:p w14:paraId="5C350B64" w14:textId="77777777" w:rsidR="00617EEA" w:rsidRDefault="00617EEA" w:rsidP="00596184"/>
          <w:p w14:paraId="7A02DEF1" w14:textId="77777777" w:rsidR="00617EEA" w:rsidRDefault="00617EEA" w:rsidP="00596184"/>
          <w:p w14:paraId="5B2FC361" w14:textId="77777777" w:rsidR="00617EEA" w:rsidRDefault="00617EEA" w:rsidP="00596184"/>
          <w:p w14:paraId="52673595" w14:textId="77777777" w:rsidR="00617EEA" w:rsidRDefault="00617EEA" w:rsidP="00596184"/>
          <w:p w14:paraId="5C7F6AB2" w14:textId="77777777" w:rsidR="00617EEA" w:rsidRDefault="00617EEA" w:rsidP="00596184"/>
          <w:p w14:paraId="1F2D1924" w14:textId="77777777" w:rsidR="00617EEA" w:rsidRDefault="00617EEA" w:rsidP="00596184"/>
          <w:p w14:paraId="202A31D4" w14:textId="77777777" w:rsidR="00617EEA" w:rsidRDefault="00617EEA" w:rsidP="00596184"/>
          <w:p w14:paraId="0DC64AE4" w14:textId="77777777" w:rsidR="00617EEA" w:rsidRDefault="00617EEA" w:rsidP="00596184"/>
          <w:p w14:paraId="0B33BB23" w14:textId="77777777" w:rsidR="00617EEA" w:rsidRDefault="00617EEA" w:rsidP="00596184"/>
          <w:p w14:paraId="5A9EEAEE" w14:textId="77777777" w:rsidR="00617EEA" w:rsidRDefault="00617EEA" w:rsidP="00596184"/>
          <w:p w14:paraId="1DA795AA" w14:textId="77777777" w:rsidR="00617EEA" w:rsidRDefault="00617EEA" w:rsidP="00596184"/>
          <w:p w14:paraId="41254F22" w14:textId="77777777" w:rsidR="00617EEA" w:rsidRDefault="00617EEA" w:rsidP="00596184"/>
          <w:p w14:paraId="4F59A3EB" w14:textId="77777777" w:rsidR="00617EEA" w:rsidRDefault="00617EEA" w:rsidP="00596184"/>
          <w:p w14:paraId="3CF23CAC" w14:textId="77777777" w:rsidR="00617EEA" w:rsidRDefault="00617EEA" w:rsidP="00596184"/>
          <w:p w14:paraId="340E6535" w14:textId="77777777" w:rsidR="00617EEA" w:rsidRDefault="00617EEA" w:rsidP="00596184"/>
          <w:p w14:paraId="274D6A1D" w14:textId="77777777" w:rsidR="00617EEA" w:rsidRDefault="00617EEA" w:rsidP="00596184"/>
          <w:p w14:paraId="5FEC956D" w14:textId="77777777" w:rsidR="00617EEA" w:rsidRDefault="00617EEA" w:rsidP="00596184"/>
          <w:p w14:paraId="122D6DF6" w14:textId="77777777" w:rsidR="00617EEA" w:rsidRDefault="00617EEA" w:rsidP="00596184"/>
          <w:p w14:paraId="73E03767" w14:textId="77777777" w:rsidR="00617EEA" w:rsidRDefault="00617EEA" w:rsidP="00596184"/>
          <w:p w14:paraId="7BBA5DBB" w14:textId="77777777" w:rsidR="00617EEA" w:rsidRDefault="00617EEA" w:rsidP="00596184"/>
          <w:p w14:paraId="37AABDC1" w14:textId="77777777" w:rsidR="00617EEA" w:rsidRDefault="00617EEA" w:rsidP="00596184"/>
          <w:p w14:paraId="2C3E6177" w14:textId="77777777" w:rsidR="00617EEA" w:rsidRDefault="00617EEA" w:rsidP="00596184"/>
          <w:p w14:paraId="702DEF97" w14:textId="77777777" w:rsidR="00617EEA" w:rsidRDefault="00617EEA" w:rsidP="00596184"/>
          <w:p w14:paraId="2D4D5A22" w14:textId="77777777" w:rsidR="00617EEA" w:rsidRDefault="00617EEA" w:rsidP="00596184"/>
          <w:p w14:paraId="0B87A1F2" w14:textId="77777777" w:rsidR="00617EEA" w:rsidRDefault="00617EEA" w:rsidP="00596184"/>
          <w:p w14:paraId="6D5C815A" w14:textId="77777777" w:rsidR="00617EEA" w:rsidRDefault="00617EEA" w:rsidP="00596184"/>
          <w:p w14:paraId="10DB3BA1" w14:textId="77777777" w:rsidR="00617EEA" w:rsidRDefault="00617EEA" w:rsidP="00596184"/>
          <w:p w14:paraId="458B528D" w14:textId="77777777" w:rsidR="00617EEA" w:rsidRDefault="00617EEA" w:rsidP="00596184"/>
          <w:p w14:paraId="0CEAB482" w14:textId="77777777" w:rsidR="00617EEA" w:rsidRDefault="00617EEA" w:rsidP="00596184">
            <w:pPr>
              <w:rPr>
                <w:b/>
                <w:bCs/>
              </w:rPr>
            </w:pPr>
            <w:r w:rsidRPr="00C61C8E">
              <w:rPr>
                <w:b/>
                <w:bCs/>
              </w:rPr>
              <w:t>DR</w:t>
            </w:r>
          </w:p>
          <w:p w14:paraId="231B8511" w14:textId="77777777" w:rsidR="00617EEA" w:rsidRDefault="00617EEA" w:rsidP="00596184">
            <w:pPr>
              <w:rPr>
                <w:b/>
                <w:bCs/>
              </w:rPr>
            </w:pPr>
          </w:p>
          <w:p w14:paraId="71CCAC99" w14:textId="77777777" w:rsidR="00617EEA" w:rsidRDefault="00617EEA" w:rsidP="00596184">
            <w:pPr>
              <w:rPr>
                <w:b/>
                <w:bCs/>
              </w:rPr>
            </w:pPr>
          </w:p>
          <w:p w14:paraId="5406581A" w14:textId="77777777" w:rsidR="00617EEA" w:rsidRDefault="00617EEA" w:rsidP="00596184">
            <w:pPr>
              <w:rPr>
                <w:b/>
                <w:bCs/>
              </w:rPr>
            </w:pPr>
          </w:p>
          <w:p w14:paraId="126EB44A" w14:textId="77777777" w:rsidR="00617EEA" w:rsidRDefault="00617EEA" w:rsidP="00596184">
            <w:pPr>
              <w:rPr>
                <w:b/>
                <w:bCs/>
              </w:rPr>
            </w:pPr>
          </w:p>
          <w:p w14:paraId="3C07425D" w14:textId="77777777" w:rsidR="00617EEA" w:rsidRDefault="00617EEA" w:rsidP="00596184">
            <w:pPr>
              <w:rPr>
                <w:b/>
                <w:bCs/>
              </w:rPr>
            </w:pPr>
          </w:p>
          <w:p w14:paraId="7D89CE8F" w14:textId="77777777" w:rsidR="00617EEA" w:rsidRDefault="00617EEA" w:rsidP="00596184">
            <w:pPr>
              <w:rPr>
                <w:b/>
                <w:bCs/>
              </w:rPr>
            </w:pPr>
          </w:p>
          <w:p w14:paraId="2AC64FEB" w14:textId="77777777" w:rsidR="00617EEA" w:rsidRDefault="00617EEA" w:rsidP="00596184">
            <w:pPr>
              <w:rPr>
                <w:b/>
                <w:bCs/>
              </w:rPr>
            </w:pPr>
          </w:p>
          <w:p w14:paraId="14F4A98A" w14:textId="77777777" w:rsidR="00617EEA" w:rsidRDefault="00617EEA" w:rsidP="00596184">
            <w:pPr>
              <w:rPr>
                <w:b/>
                <w:bCs/>
              </w:rPr>
            </w:pPr>
          </w:p>
          <w:p w14:paraId="0918CB55" w14:textId="77777777" w:rsidR="00617EEA" w:rsidRDefault="00617EEA" w:rsidP="00596184">
            <w:pPr>
              <w:rPr>
                <w:b/>
                <w:bCs/>
              </w:rPr>
            </w:pPr>
          </w:p>
          <w:p w14:paraId="173D3833" w14:textId="77777777" w:rsidR="00617EEA" w:rsidRDefault="00617EEA" w:rsidP="00596184">
            <w:pPr>
              <w:rPr>
                <w:b/>
                <w:bCs/>
              </w:rPr>
            </w:pPr>
          </w:p>
          <w:p w14:paraId="22A1B879" w14:textId="77777777" w:rsidR="00617EEA" w:rsidRDefault="00617EEA" w:rsidP="00596184">
            <w:pPr>
              <w:rPr>
                <w:b/>
                <w:bCs/>
              </w:rPr>
            </w:pPr>
          </w:p>
          <w:p w14:paraId="312EB96C" w14:textId="77777777" w:rsidR="00617EEA" w:rsidRDefault="00617EEA" w:rsidP="00596184">
            <w:pPr>
              <w:rPr>
                <w:b/>
                <w:bCs/>
              </w:rPr>
            </w:pPr>
          </w:p>
          <w:p w14:paraId="688C384D" w14:textId="77777777" w:rsidR="00617EEA" w:rsidRDefault="00617EEA" w:rsidP="00596184">
            <w:pPr>
              <w:rPr>
                <w:b/>
                <w:bCs/>
              </w:rPr>
            </w:pPr>
          </w:p>
          <w:p w14:paraId="6658DA88" w14:textId="77777777" w:rsidR="00617EEA" w:rsidRDefault="00617EEA" w:rsidP="00596184">
            <w:pPr>
              <w:rPr>
                <w:b/>
                <w:bCs/>
              </w:rPr>
            </w:pPr>
          </w:p>
          <w:p w14:paraId="79C47735" w14:textId="77777777" w:rsidR="00617EEA" w:rsidRDefault="00617EEA" w:rsidP="00596184">
            <w:pPr>
              <w:rPr>
                <w:b/>
                <w:bCs/>
              </w:rPr>
            </w:pPr>
          </w:p>
          <w:p w14:paraId="011E2A5D" w14:textId="77777777" w:rsidR="00617EEA" w:rsidRDefault="00617EEA" w:rsidP="00596184">
            <w:pPr>
              <w:rPr>
                <w:b/>
                <w:bCs/>
              </w:rPr>
            </w:pPr>
          </w:p>
          <w:p w14:paraId="7D4BD9DE" w14:textId="77777777" w:rsidR="00617EEA" w:rsidRDefault="00617EEA" w:rsidP="00596184">
            <w:pPr>
              <w:rPr>
                <w:b/>
                <w:bCs/>
              </w:rPr>
            </w:pPr>
          </w:p>
          <w:p w14:paraId="61F220AB" w14:textId="77777777" w:rsidR="00617EEA" w:rsidRDefault="00617EEA" w:rsidP="00596184">
            <w:pPr>
              <w:rPr>
                <w:b/>
                <w:bCs/>
              </w:rPr>
            </w:pPr>
          </w:p>
          <w:p w14:paraId="20DC31A4" w14:textId="77777777" w:rsidR="00617EEA" w:rsidRDefault="00617EEA" w:rsidP="00596184">
            <w:pPr>
              <w:rPr>
                <w:b/>
                <w:bCs/>
              </w:rPr>
            </w:pPr>
          </w:p>
          <w:p w14:paraId="3A691B2C" w14:textId="77777777" w:rsidR="00617EEA" w:rsidRDefault="00617EEA" w:rsidP="00596184">
            <w:pPr>
              <w:rPr>
                <w:b/>
                <w:bCs/>
              </w:rPr>
            </w:pPr>
          </w:p>
          <w:p w14:paraId="6D444278" w14:textId="77777777" w:rsidR="00617EEA" w:rsidRDefault="00617EEA" w:rsidP="00596184">
            <w:pPr>
              <w:rPr>
                <w:b/>
                <w:bCs/>
              </w:rPr>
            </w:pPr>
          </w:p>
          <w:p w14:paraId="6EB6ED7A" w14:textId="77777777" w:rsidR="00617EEA" w:rsidRDefault="00617EEA" w:rsidP="00596184">
            <w:pPr>
              <w:rPr>
                <w:b/>
                <w:bCs/>
              </w:rPr>
            </w:pPr>
            <w:r>
              <w:rPr>
                <w:b/>
                <w:bCs/>
              </w:rPr>
              <w:t>DR</w:t>
            </w:r>
          </w:p>
          <w:p w14:paraId="7AC15322" w14:textId="77777777" w:rsidR="00617EEA" w:rsidRDefault="00617EEA" w:rsidP="00596184">
            <w:pPr>
              <w:rPr>
                <w:b/>
                <w:bCs/>
              </w:rPr>
            </w:pPr>
          </w:p>
          <w:p w14:paraId="659F3C41" w14:textId="77777777" w:rsidR="00617EEA" w:rsidRDefault="00617EEA" w:rsidP="00596184">
            <w:pPr>
              <w:rPr>
                <w:b/>
                <w:bCs/>
              </w:rPr>
            </w:pPr>
          </w:p>
          <w:p w14:paraId="28D78206" w14:textId="77777777" w:rsidR="00617EEA" w:rsidRPr="00C61C8E" w:rsidRDefault="00617EEA" w:rsidP="00596184">
            <w:pPr>
              <w:rPr>
                <w:b/>
                <w:bCs/>
              </w:rPr>
            </w:pPr>
            <w:r>
              <w:rPr>
                <w:b/>
                <w:bCs/>
              </w:rPr>
              <w:t>DR</w:t>
            </w:r>
          </w:p>
        </w:tc>
      </w:tr>
      <w:tr w:rsidR="00617EEA" w14:paraId="37E5431D" w14:textId="77777777" w:rsidTr="00596184">
        <w:tc>
          <w:tcPr>
            <w:tcW w:w="959" w:type="dxa"/>
            <w:shd w:val="clear" w:color="auto" w:fill="auto"/>
          </w:tcPr>
          <w:p w14:paraId="23230A58" w14:textId="77777777" w:rsidR="00617EEA" w:rsidRPr="007A5F96" w:rsidRDefault="00617EEA" w:rsidP="00596184">
            <w:pPr>
              <w:rPr>
                <w:b/>
                <w:bCs/>
              </w:rPr>
            </w:pPr>
          </w:p>
        </w:tc>
        <w:tc>
          <w:tcPr>
            <w:tcW w:w="7229" w:type="dxa"/>
            <w:shd w:val="clear" w:color="auto" w:fill="auto"/>
          </w:tcPr>
          <w:p w14:paraId="12509FAC" w14:textId="77777777" w:rsidR="00617EEA" w:rsidRPr="0067654C" w:rsidRDefault="00617EEA" w:rsidP="00596184">
            <w:pPr>
              <w:tabs>
                <w:tab w:val="left" w:pos="-1440"/>
                <w:tab w:val="left" w:pos="-720"/>
                <w:tab w:val="left" w:pos="0"/>
                <w:tab w:val="left" w:pos="1440"/>
              </w:tabs>
              <w:suppressAutoHyphens/>
              <w:rPr>
                <w:b/>
                <w:spacing w:val="-3"/>
              </w:rPr>
            </w:pPr>
          </w:p>
        </w:tc>
        <w:tc>
          <w:tcPr>
            <w:tcW w:w="866" w:type="dxa"/>
            <w:shd w:val="clear" w:color="auto" w:fill="auto"/>
          </w:tcPr>
          <w:p w14:paraId="3A0A4AD3" w14:textId="77777777" w:rsidR="00617EEA" w:rsidRDefault="00617EEA" w:rsidP="00596184"/>
        </w:tc>
      </w:tr>
      <w:tr w:rsidR="00617EEA" w14:paraId="54B8464F" w14:textId="77777777" w:rsidTr="00596184">
        <w:tc>
          <w:tcPr>
            <w:tcW w:w="959" w:type="dxa"/>
            <w:shd w:val="clear" w:color="auto" w:fill="auto"/>
          </w:tcPr>
          <w:p w14:paraId="714C8DCB" w14:textId="77777777" w:rsidR="00617EEA" w:rsidRPr="007A5F96" w:rsidRDefault="00617EEA" w:rsidP="00596184">
            <w:pPr>
              <w:rPr>
                <w:b/>
                <w:bCs/>
              </w:rPr>
            </w:pPr>
          </w:p>
        </w:tc>
        <w:tc>
          <w:tcPr>
            <w:tcW w:w="7229" w:type="dxa"/>
            <w:shd w:val="clear" w:color="auto" w:fill="auto"/>
          </w:tcPr>
          <w:p w14:paraId="20E891EB" w14:textId="77777777" w:rsidR="00617EEA" w:rsidRPr="0067654C" w:rsidRDefault="00617EEA" w:rsidP="00596184">
            <w:pPr>
              <w:tabs>
                <w:tab w:val="left" w:pos="-1440"/>
                <w:tab w:val="left" w:pos="-720"/>
                <w:tab w:val="left" w:pos="0"/>
                <w:tab w:val="left" w:pos="1440"/>
              </w:tabs>
              <w:suppressAutoHyphens/>
              <w:rPr>
                <w:b/>
                <w:spacing w:val="-3"/>
              </w:rPr>
            </w:pPr>
            <w:r w:rsidRPr="0067654C">
              <w:rPr>
                <w:b/>
              </w:rPr>
              <w:t>Any other business</w:t>
            </w:r>
          </w:p>
        </w:tc>
        <w:tc>
          <w:tcPr>
            <w:tcW w:w="866" w:type="dxa"/>
            <w:shd w:val="clear" w:color="auto" w:fill="auto"/>
          </w:tcPr>
          <w:p w14:paraId="1532B0E0" w14:textId="77777777" w:rsidR="00617EEA" w:rsidRDefault="00617EEA" w:rsidP="00596184"/>
        </w:tc>
      </w:tr>
      <w:tr w:rsidR="00617EEA" w14:paraId="689F2FA6" w14:textId="77777777" w:rsidTr="00596184">
        <w:tc>
          <w:tcPr>
            <w:tcW w:w="959" w:type="dxa"/>
            <w:shd w:val="clear" w:color="auto" w:fill="auto"/>
          </w:tcPr>
          <w:p w14:paraId="3C6E22BC" w14:textId="77777777" w:rsidR="00617EEA" w:rsidRPr="007A5F96" w:rsidRDefault="00617EEA" w:rsidP="00596184">
            <w:pPr>
              <w:rPr>
                <w:b/>
                <w:bCs/>
              </w:rPr>
            </w:pPr>
            <w:r>
              <w:rPr>
                <w:b/>
                <w:bCs/>
              </w:rPr>
              <w:t>32</w:t>
            </w:r>
            <w:r w:rsidRPr="00842ED6">
              <w:rPr>
                <w:b/>
                <w:bCs/>
              </w:rPr>
              <w:t>/20</w:t>
            </w:r>
          </w:p>
        </w:tc>
        <w:tc>
          <w:tcPr>
            <w:tcW w:w="7229" w:type="dxa"/>
            <w:shd w:val="clear" w:color="auto" w:fill="auto"/>
          </w:tcPr>
          <w:p w14:paraId="68375E8F" w14:textId="77777777" w:rsidR="00617EEA" w:rsidRPr="0067654C" w:rsidRDefault="00617EEA" w:rsidP="00596184">
            <w:pPr>
              <w:tabs>
                <w:tab w:val="left" w:pos="-1440"/>
                <w:tab w:val="left" w:pos="-720"/>
                <w:tab w:val="left" w:pos="0"/>
                <w:tab w:val="left" w:pos="1440"/>
              </w:tabs>
              <w:suppressAutoHyphens/>
              <w:rPr>
                <w:bCs/>
                <w:spacing w:val="-3"/>
                <w:u w:val="single"/>
              </w:rPr>
            </w:pPr>
            <w:r w:rsidRPr="0067654C">
              <w:rPr>
                <w:bCs/>
                <w:spacing w:val="-3"/>
                <w:u w:val="single"/>
              </w:rPr>
              <w:t>Chair and Deputy-Chair elections</w:t>
            </w:r>
          </w:p>
        </w:tc>
        <w:tc>
          <w:tcPr>
            <w:tcW w:w="866" w:type="dxa"/>
            <w:shd w:val="clear" w:color="auto" w:fill="auto"/>
          </w:tcPr>
          <w:p w14:paraId="2F33931B" w14:textId="77777777" w:rsidR="00617EEA" w:rsidRDefault="00617EEA" w:rsidP="00596184"/>
        </w:tc>
      </w:tr>
      <w:tr w:rsidR="00617EEA" w14:paraId="14D3186C" w14:textId="77777777" w:rsidTr="00596184">
        <w:tc>
          <w:tcPr>
            <w:tcW w:w="959" w:type="dxa"/>
            <w:shd w:val="clear" w:color="auto" w:fill="auto"/>
          </w:tcPr>
          <w:p w14:paraId="3DF3E007" w14:textId="77777777" w:rsidR="00617EEA" w:rsidRDefault="00617EEA" w:rsidP="00596184">
            <w:pPr>
              <w:rPr>
                <w:b/>
                <w:bCs/>
              </w:rPr>
            </w:pPr>
          </w:p>
        </w:tc>
        <w:tc>
          <w:tcPr>
            <w:tcW w:w="7229" w:type="dxa"/>
            <w:shd w:val="clear" w:color="auto" w:fill="auto"/>
          </w:tcPr>
          <w:p w14:paraId="4FE63586" w14:textId="77777777" w:rsidR="00617EEA" w:rsidRPr="0067654C" w:rsidRDefault="00617EEA" w:rsidP="00596184">
            <w:pPr>
              <w:tabs>
                <w:tab w:val="left" w:pos="-1440"/>
                <w:tab w:val="left" w:pos="-720"/>
                <w:tab w:val="left" w:pos="0"/>
                <w:tab w:val="left" w:pos="1440"/>
              </w:tabs>
              <w:suppressAutoHyphens/>
              <w:rPr>
                <w:bCs/>
                <w:spacing w:val="-3"/>
              </w:rPr>
            </w:pPr>
            <w:r w:rsidRPr="0067654C">
              <w:rPr>
                <w:bCs/>
                <w:spacing w:val="-3"/>
              </w:rPr>
              <w:t>The ballot for the Chair and Deputy-Chairs of the group was noted and members were urged to vote before the deadline.</w:t>
            </w:r>
          </w:p>
        </w:tc>
        <w:tc>
          <w:tcPr>
            <w:tcW w:w="866" w:type="dxa"/>
            <w:shd w:val="clear" w:color="auto" w:fill="auto"/>
          </w:tcPr>
          <w:p w14:paraId="4DA02C5F" w14:textId="77777777" w:rsidR="00617EEA" w:rsidRDefault="00617EEA" w:rsidP="00596184"/>
        </w:tc>
      </w:tr>
      <w:tr w:rsidR="00617EEA" w14:paraId="0E2CB088" w14:textId="77777777" w:rsidTr="00596184">
        <w:tc>
          <w:tcPr>
            <w:tcW w:w="959" w:type="dxa"/>
            <w:shd w:val="clear" w:color="auto" w:fill="auto"/>
          </w:tcPr>
          <w:p w14:paraId="015CADE5" w14:textId="77777777" w:rsidR="00617EEA" w:rsidRDefault="00617EEA" w:rsidP="00596184">
            <w:pPr>
              <w:rPr>
                <w:b/>
                <w:bCs/>
              </w:rPr>
            </w:pPr>
          </w:p>
        </w:tc>
        <w:tc>
          <w:tcPr>
            <w:tcW w:w="7229" w:type="dxa"/>
            <w:shd w:val="clear" w:color="auto" w:fill="auto"/>
          </w:tcPr>
          <w:p w14:paraId="5B87E8AE" w14:textId="77777777" w:rsidR="00617EEA" w:rsidRPr="0012595F" w:rsidRDefault="00617EEA" w:rsidP="00596184">
            <w:pPr>
              <w:tabs>
                <w:tab w:val="left" w:pos="-1440"/>
                <w:tab w:val="left" w:pos="-720"/>
                <w:tab w:val="left" w:pos="0"/>
                <w:tab w:val="left" w:pos="1440"/>
              </w:tabs>
              <w:suppressAutoHyphens/>
              <w:rPr>
                <w:b/>
                <w:spacing w:val="-3"/>
              </w:rPr>
            </w:pPr>
          </w:p>
        </w:tc>
        <w:tc>
          <w:tcPr>
            <w:tcW w:w="866" w:type="dxa"/>
            <w:shd w:val="clear" w:color="auto" w:fill="auto"/>
          </w:tcPr>
          <w:p w14:paraId="07F647C9" w14:textId="77777777" w:rsidR="00617EEA" w:rsidRDefault="00617EEA" w:rsidP="00596184"/>
        </w:tc>
      </w:tr>
      <w:tr w:rsidR="00617EEA" w14:paraId="1114AC1C" w14:textId="77777777" w:rsidTr="00596184">
        <w:tc>
          <w:tcPr>
            <w:tcW w:w="959" w:type="dxa"/>
            <w:shd w:val="clear" w:color="auto" w:fill="auto"/>
          </w:tcPr>
          <w:p w14:paraId="637D01F5" w14:textId="77777777" w:rsidR="00617EEA" w:rsidRPr="007A5F96" w:rsidRDefault="00617EEA" w:rsidP="00596184">
            <w:pPr>
              <w:rPr>
                <w:b/>
                <w:bCs/>
              </w:rPr>
            </w:pPr>
            <w:r>
              <w:rPr>
                <w:b/>
                <w:bCs/>
              </w:rPr>
              <w:t>33/20</w:t>
            </w:r>
          </w:p>
        </w:tc>
        <w:tc>
          <w:tcPr>
            <w:tcW w:w="7229" w:type="dxa"/>
            <w:shd w:val="clear" w:color="auto" w:fill="auto"/>
          </w:tcPr>
          <w:p w14:paraId="4DC108D1" w14:textId="77777777" w:rsidR="00617EEA" w:rsidRPr="00017214" w:rsidRDefault="00617EEA" w:rsidP="00596184">
            <w:pPr>
              <w:tabs>
                <w:tab w:val="left" w:pos="-1440"/>
                <w:tab w:val="left" w:pos="-720"/>
                <w:tab w:val="left" w:pos="0"/>
                <w:tab w:val="left" w:pos="1440"/>
              </w:tabs>
              <w:suppressAutoHyphens/>
              <w:rPr>
                <w:bCs/>
                <w:spacing w:val="-3"/>
                <w:u w:val="single"/>
              </w:rPr>
            </w:pPr>
            <w:r w:rsidRPr="00017214">
              <w:rPr>
                <w:bCs/>
                <w:spacing w:val="-3"/>
                <w:u w:val="single"/>
              </w:rPr>
              <w:t>Date of next meeting</w:t>
            </w:r>
          </w:p>
        </w:tc>
        <w:tc>
          <w:tcPr>
            <w:tcW w:w="866" w:type="dxa"/>
            <w:shd w:val="clear" w:color="auto" w:fill="auto"/>
          </w:tcPr>
          <w:p w14:paraId="017C1A96" w14:textId="77777777" w:rsidR="00617EEA" w:rsidRDefault="00617EEA" w:rsidP="00596184"/>
        </w:tc>
      </w:tr>
      <w:tr w:rsidR="00617EEA" w14:paraId="6A89E83E" w14:textId="77777777" w:rsidTr="00596184">
        <w:tc>
          <w:tcPr>
            <w:tcW w:w="959" w:type="dxa"/>
            <w:shd w:val="clear" w:color="auto" w:fill="auto"/>
          </w:tcPr>
          <w:p w14:paraId="611B69D0" w14:textId="77777777" w:rsidR="00617EEA" w:rsidRDefault="00617EEA" w:rsidP="00596184">
            <w:pPr>
              <w:rPr>
                <w:b/>
                <w:bCs/>
              </w:rPr>
            </w:pPr>
          </w:p>
        </w:tc>
        <w:tc>
          <w:tcPr>
            <w:tcW w:w="7229" w:type="dxa"/>
            <w:shd w:val="clear" w:color="auto" w:fill="auto"/>
          </w:tcPr>
          <w:p w14:paraId="73B74C61" w14:textId="77777777" w:rsidR="00617EEA" w:rsidRPr="0012595F" w:rsidRDefault="00617EEA" w:rsidP="00596184">
            <w:pPr>
              <w:tabs>
                <w:tab w:val="left" w:pos="-1440"/>
                <w:tab w:val="left" w:pos="-720"/>
                <w:tab w:val="left" w:pos="0"/>
                <w:tab w:val="left" w:pos="1440"/>
              </w:tabs>
              <w:suppressAutoHyphens/>
              <w:rPr>
                <w:b/>
                <w:spacing w:val="-3"/>
              </w:rPr>
            </w:pPr>
            <w:r>
              <w:rPr>
                <w:bCs/>
                <w:spacing w:val="-3"/>
              </w:rPr>
              <w:t>Tuesday 18 August</w:t>
            </w:r>
            <w:r w:rsidRPr="00D22E87">
              <w:rPr>
                <w:bCs/>
                <w:spacing w:val="-3"/>
              </w:rPr>
              <w:t xml:space="preserve"> 2020, 1</w:t>
            </w:r>
            <w:r>
              <w:rPr>
                <w:bCs/>
                <w:spacing w:val="-3"/>
              </w:rPr>
              <w:t>8</w:t>
            </w:r>
            <w:r w:rsidRPr="00D22E87">
              <w:rPr>
                <w:bCs/>
                <w:spacing w:val="-3"/>
              </w:rPr>
              <w:t>00-1</w:t>
            </w:r>
            <w:r>
              <w:rPr>
                <w:bCs/>
                <w:spacing w:val="-3"/>
              </w:rPr>
              <w:t>9</w:t>
            </w:r>
            <w:r w:rsidRPr="00D22E87">
              <w:rPr>
                <w:bCs/>
                <w:spacing w:val="-3"/>
              </w:rPr>
              <w:t>00, as a Zoom meeting.</w:t>
            </w:r>
          </w:p>
        </w:tc>
        <w:tc>
          <w:tcPr>
            <w:tcW w:w="866" w:type="dxa"/>
            <w:shd w:val="clear" w:color="auto" w:fill="auto"/>
          </w:tcPr>
          <w:p w14:paraId="59FA187A" w14:textId="77777777" w:rsidR="00617EEA" w:rsidRDefault="00617EEA" w:rsidP="00596184"/>
        </w:tc>
      </w:tr>
    </w:tbl>
    <w:p w14:paraId="479F9041" w14:textId="77777777" w:rsidR="00617EEA" w:rsidRPr="00B47AC9" w:rsidRDefault="00617EEA" w:rsidP="00617EEA">
      <w:pPr>
        <w:rPr>
          <w:sz w:val="2"/>
          <w:szCs w:val="2"/>
        </w:rPr>
      </w:pPr>
    </w:p>
    <w:p w14:paraId="4F6DDF82" w14:textId="77777777" w:rsidR="0097274C" w:rsidRDefault="0097274C"/>
    <w:sectPr w:rsidR="0097274C" w:rsidSect="00FC2EB2">
      <w:headerReference w:type="even" r:id="rId6"/>
      <w:headerReference w:type="default" r:id="rId7"/>
      <w:footerReference w:type="even" r:id="rId8"/>
      <w:footerReference w:type="default" r:id="rId9"/>
      <w:headerReference w:type="first" r:id="rId10"/>
      <w:footerReference w:type="first" r:id="rId11"/>
      <w:pgSz w:w="12240" w:h="15840"/>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B74F" w14:textId="77777777" w:rsidR="00C7744E" w:rsidRDefault="0067654C">
      <w:r>
        <w:separator/>
      </w:r>
    </w:p>
  </w:endnote>
  <w:endnote w:type="continuationSeparator" w:id="0">
    <w:p w14:paraId="01E35C14" w14:textId="77777777" w:rsidR="00C7744E" w:rsidRDefault="0067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A461" w14:textId="77777777" w:rsidR="00AB1E99" w:rsidRDefault="004B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6585" w14:textId="77777777" w:rsidR="00AB1E99" w:rsidRDefault="004B0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CC2F" w14:textId="77777777" w:rsidR="00AB1E99" w:rsidRDefault="004B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6C85" w14:textId="77777777" w:rsidR="00C7744E" w:rsidRDefault="0067654C">
      <w:r>
        <w:separator/>
      </w:r>
    </w:p>
  </w:footnote>
  <w:footnote w:type="continuationSeparator" w:id="0">
    <w:p w14:paraId="17282B60" w14:textId="77777777" w:rsidR="00C7744E" w:rsidRDefault="0067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4DAB" w14:textId="77777777" w:rsidR="00AB1E99" w:rsidRDefault="004B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342E" w14:textId="6EF468DD" w:rsidR="00AB1E99" w:rsidRDefault="004B0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F5CD" w14:textId="77777777" w:rsidR="00AB1E99" w:rsidRDefault="004B0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EA"/>
    <w:rsid w:val="00204E09"/>
    <w:rsid w:val="004B07CB"/>
    <w:rsid w:val="00503078"/>
    <w:rsid w:val="00617EEA"/>
    <w:rsid w:val="0067654C"/>
    <w:rsid w:val="0097274C"/>
    <w:rsid w:val="00C7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23C87"/>
  <w14:defaultImageDpi w14:val="300"/>
  <w15:docId w15:val="{E88101D7-AA7C-4151-AB9E-5C070E5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617EEA"/>
    <w:pPr>
      <w:tabs>
        <w:tab w:val="right" w:pos="9360"/>
      </w:tabs>
      <w:suppressAutoHyphens/>
    </w:pPr>
    <w:rPr>
      <w:rFonts w:ascii="Times New Roman" w:hAnsi="Times New Roman" w:cs="Times New Roman"/>
      <w:sz w:val="20"/>
      <w:szCs w:val="20"/>
    </w:rPr>
  </w:style>
  <w:style w:type="paragraph" w:styleId="PlainText">
    <w:name w:val="Plain Text"/>
    <w:basedOn w:val="Normal"/>
    <w:link w:val="PlainTextChar"/>
    <w:rsid w:val="00617EEA"/>
    <w:rPr>
      <w:lang w:eastAsia="en-GB"/>
    </w:rPr>
  </w:style>
  <w:style w:type="character" w:customStyle="1" w:styleId="PlainTextChar">
    <w:name w:val="Plain Text Char"/>
    <w:basedOn w:val="DefaultParagraphFont"/>
    <w:link w:val="PlainText"/>
    <w:rsid w:val="00617EEA"/>
    <w:rPr>
      <w:rFonts w:ascii="Arial" w:eastAsia="Times New Roman" w:hAnsi="Arial" w:cs="Arial"/>
      <w:lang w:val="en-GB" w:eastAsia="en-GB"/>
    </w:rPr>
  </w:style>
  <w:style w:type="paragraph" w:styleId="Header">
    <w:name w:val="header"/>
    <w:basedOn w:val="Normal"/>
    <w:link w:val="HeaderChar"/>
    <w:rsid w:val="00617EEA"/>
    <w:pPr>
      <w:tabs>
        <w:tab w:val="center" w:pos="4513"/>
        <w:tab w:val="right" w:pos="9026"/>
      </w:tabs>
    </w:pPr>
  </w:style>
  <w:style w:type="character" w:customStyle="1" w:styleId="HeaderChar">
    <w:name w:val="Header Char"/>
    <w:basedOn w:val="DefaultParagraphFont"/>
    <w:link w:val="Header"/>
    <w:rsid w:val="00617EEA"/>
    <w:rPr>
      <w:rFonts w:ascii="Arial" w:eastAsia="Times New Roman" w:hAnsi="Arial" w:cs="Arial"/>
      <w:lang w:val="en-GB"/>
    </w:rPr>
  </w:style>
  <w:style w:type="paragraph" w:styleId="Footer">
    <w:name w:val="footer"/>
    <w:basedOn w:val="Normal"/>
    <w:link w:val="FooterChar"/>
    <w:rsid w:val="00617EEA"/>
    <w:pPr>
      <w:tabs>
        <w:tab w:val="center" w:pos="4513"/>
        <w:tab w:val="right" w:pos="9026"/>
      </w:tabs>
    </w:pPr>
  </w:style>
  <w:style w:type="character" w:customStyle="1" w:styleId="FooterChar">
    <w:name w:val="Footer Char"/>
    <w:basedOn w:val="DefaultParagraphFont"/>
    <w:link w:val="Footer"/>
    <w:rsid w:val="00617EEA"/>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Stewart</dc:creator>
  <cp:keywords/>
  <dc:description/>
  <cp:lastModifiedBy>Craig Mortimer</cp:lastModifiedBy>
  <cp:revision>3</cp:revision>
  <dcterms:created xsi:type="dcterms:W3CDTF">2021-08-19T09:10:00Z</dcterms:created>
  <dcterms:modified xsi:type="dcterms:W3CDTF">2021-08-19T09:11:00Z</dcterms:modified>
</cp:coreProperties>
</file>